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07E8D" w14:textId="77777777" w:rsidR="00385F6E" w:rsidRPr="00CB2E83" w:rsidRDefault="00385F6E" w:rsidP="00385F6E">
      <w:pPr>
        <w:jc w:val="both"/>
        <w:rPr>
          <w:rFonts w:ascii="Times New Roman" w:hAnsi="Times New Roman" w:cs="Times New Roman"/>
        </w:rPr>
      </w:pPr>
      <w:r w:rsidRPr="00CB2E83">
        <w:rPr>
          <w:rFonts w:ascii="Times New Roman" w:eastAsia="Arial" w:hAnsi="Times New Roman" w:cs="Times New Roman"/>
          <w:b/>
          <w:sz w:val="32"/>
        </w:rPr>
        <w:t xml:space="preserve">9 - </w:t>
      </w:r>
      <w:proofErr w:type="gramStart"/>
      <w:r w:rsidRPr="00CB2E83">
        <w:rPr>
          <w:rFonts w:ascii="Times New Roman" w:eastAsia="Arial" w:hAnsi="Times New Roman" w:cs="Times New Roman"/>
          <w:b/>
          <w:sz w:val="32"/>
        </w:rPr>
        <w:t>Social media</w:t>
      </w:r>
      <w:proofErr w:type="gramEnd"/>
      <w:r w:rsidRPr="00CB2E83">
        <w:rPr>
          <w:rFonts w:ascii="Times New Roman" w:eastAsia="Arial" w:hAnsi="Times New Roman" w:cs="Times New Roman"/>
          <w:b/>
          <w:sz w:val="32"/>
        </w:rPr>
        <w:t xml:space="preserve">, misogyny, and gender critical speech: a human rights approach to hate in the UK </w:t>
      </w:r>
    </w:p>
    <w:p w14:paraId="2F73AB7C" w14:textId="77777777" w:rsidR="00385F6E" w:rsidRPr="00CB2E83" w:rsidRDefault="00385F6E" w:rsidP="00385F6E">
      <w:pPr>
        <w:spacing w:before="150" w:after="150"/>
        <w:jc w:val="both"/>
        <w:rPr>
          <w:rFonts w:ascii="Times New Roman" w:hAnsi="Times New Roman" w:cs="Times New Roman"/>
        </w:rPr>
      </w:pPr>
      <w:bookmarkStart w:id="0" w:name="_Hlk150954967"/>
      <w:r w:rsidRPr="00CB2E83">
        <w:rPr>
          <w:rFonts w:ascii="Times New Roman" w:eastAsia="Arial" w:hAnsi="Times New Roman" w:cs="Times New Roman"/>
          <w:u w:val="single"/>
        </w:rPr>
        <w:t>Michele Goodbody</w:t>
      </w:r>
      <w:r w:rsidRPr="00CB2E83">
        <w:rPr>
          <w:rFonts w:ascii="Times New Roman" w:hAnsi="Times New Roman" w:cs="Times New Roman"/>
          <w:vertAlign w:val="superscript"/>
        </w:rPr>
        <w:t>1</w:t>
      </w:r>
    </w:p>
    <w:bookmarkEnd w:id="0"/>
    <w:p w14:paraId="038679BC" w14:textId="77777777" w:rsidR="00385F6E" w:rsidRPr="00CB2E83" w:rsidRDefault="00385F6E" w:rsidP="00385F6E">
      <w:pPr>
        <w:spacing w:before="150" w:after="150"/>
        <w:jc w:val="both"/>
        <w:rPr>
          <w:rFonts w:ascii="Times New Roman" w:hAnsi="Times New Roman" w:cs="Times New Roman"/>
        </w:rPr>
      </w:pPr>
      <w:r w:rsidRPr="00CB2E83">
        <w:rPr>
          <w:rFonts w:ascii="Times New Roman" w:eastAsia="Arial" w:hAnsi="Times New Roman" w:cs="Times New Roman"/>
          <w:vertAlign w:val="superscript"/>
        </w:rPr>
        <w:t>1</w:t>
      </w:r>
      <w:r w:rsidRPr="00CB2E83">
        <w:rPr>
          <w:rFonts w:ascii="Times New Roman" w:eastAsia="Arial" w:hAnsi="Times New Roman" w:cs="Times New Roman"/>
        </w:rPr>
        <w:t xml:space="preserve">Liverpool John </w:t>
      </w:r>
      <w:proofErr w:type="spellStart"/>
      <w:r w:rsidRPr="00CB2E83">
        <w:rPr>
          <w:rFonts w:ascii="Times New Roman" w:eastAsia="Arial" w:hAnsi="Times New Roman" w:cs="Times New Roman"/>
        </w:rPr>
        <w:t>Moores</w:t>
      </w:r>
      <w:proofErr w:type="spellEnd"/>
      <w:r w:rsidRPr="00CB2E83">
        <w:rPr>
          <w:rFonts w:ascii="Times New Roman" w:eastAsia="Arial" w:hAnsi="Times New Roman" w:cs="Times New Roman"/>
        </w:rPr>
        <w:t xml:space="preserve"> University</w:t>
      </w:r>
    </w:p>
    <w:p w14:paraId="58F8D1ED" w14:textId="77777777" w:rsidR="00385F6E" w:rsidRPr="00CB2E83" w:rsidRDefault="00385F6E" w:rsidP="00385F6E">
      <w:pPr>
        <w:pStyle w:val="Heading1"/>
        <w:spacing w:after="2"/>
        <w:ind w:left="0"/>
        <w:rPr>
          <w:rFonts w:ascii="Times New Roman" w:hAnsi="Times New Roman" w:cs="Times New Roman"/>
          <w:b w:val="0"/>
          <w:bCs w:val="0"/>
          <w:sz w:val="22"/>
          <w:szCs w:val="22"/>
          <w:u w:val="single"/>
        </w:rPr>
      </w:pPr>
      <w:r w:rsidRPr="00CB2E83">
        <w:rPr>
          <w:rFonts w:ascii="Times New Roman" w:hAnsi="Times New Roman" w:cs="Times New Roman"/>
          <w:b w:val="0"/>
          <w:bCs w:val="0"/>
          <w:sz w:val="22"/>
          <w:szCs w:val="22"/>
          <w:u w:val="single"/>
          <w:lang w:val="en-GB"/>
        </w:rPr>
        <w:t>Aims/Objectives</w:t>
      </w:r>
    </w:p>
    <w:p w14:paraId="5C9A4684" w14:textId="77777777" w:rsidR="00385F6E" w:rsidRPr="00CB2E83" w:rsidRDefault="00385F6E" w:rsidP="00385F6E">
      <w:pPr>
        <w:pStyle w:val="Heading1"/>
        <w:numPr>
          <w:ilvl w:val="0"/>
          <w:numId w:val="1"/>
        </w:numPr>
        <w:tabs>
          <w:tab w:val="clear" w:pos="720"/>
          <w:tab w:val="num" w:pos="360"/>
        </w:tabs>
        <w:spacing w:after="2"/>
        <w:ind w:left="360" w:firstLine="0"/>
        <w:rPr>
          <w:rFonts w:ascii="Times New Roman" w:hAnsi="Times New Roman" w:cs="Times New Roman"/>
          <w:b w:val="0"/>
          <w:bCs w:val="0"/>
          <w:sz w:val="22"/>
          <w:szCs w:val="22"/>
          <w:lang w:val="en-GB"/>
        </w:rPr>
      </w:pPr>
      <w:r w:rsidRPr="00CB2E83">
        <w:rPr>
          <w:rFonts w:ascii="Times New Roman" w:hAnsi="Times New Roman" w:cs="Times New Roman"/>
          <w:b w:val="0"/>
          <w:bCs w:val="0"/>
          <w:sz w:val="22"/>
          <w:szCs w:val="22"/>
          <w:lang w:val="en-GB"/>
        </w:rPr>
        <w:t xml:space="preserve">A critical evaluation of the impact gender critical speech has on freedom of </w:t>
      </w:r>
      <w:proofErr w:type="gramStart"/>
      <w:r w:rsidRPr="00CB2E83">
        <w:rPr>
          <w:rFonts w:ascii="Times New Roman" w:hAnsi="Times New Roman" w:cs="Times New Roman"/>
          <w:b w:val="0"/>
          <w:bCs w:val="0"/>
          <w:sz w:val="22"/>
          <w:szCs w:val="22"/>
          <w:lang w:val="en-GB"/>
        </w:rPr>
        <w:t>expression</w:t>
      </w:r>
      <w:proofErr w:type="gramEnd"/>
    </w:p>
    <w:p w14:paraId="2590127E" w14:textId="77777777" w:rsidR="00385F6E" w:rsidRPr="00CB2E83" w:rsidRDefault="00385F6E" w:rsidP="00385F6E">
      <w:pPr>
        <w:pStyle w:val="Heading1"/>
        <w:numPr>
          <w:ilvl w:val="0"/>
          <w:numId w:val="2"/>
        </w:numPr>
        <w:tabs>
          <w:tab w:val="clear" w:pos="720"/>
          <w:tab w:val="num" w:pos="360"/>
        </w:tabs>
        <w:spacing w:after="2"/>
        <w:ind w:left="140" w:firstLine="0"/>
        <w:rPr>
          <w:rFonts w:ascii="Times New Roman" w:hAnsi="Times New Roman" w:cs="Times New Roman"/>
          <w:b w:val="0"/>
          <w:bCs w:val="0"/>
          <w:sz w:val="22"/>
          <w:szCs w:val="22"/>
          <w:lang w:val="en-GB"/>
        </w:rPr>
      </w:pPr>
      <w:r w:rsidRPr="00CB2E83">
        <w:rPr>
          <w:rFonts w:ascii="Times New Roman" w:hAnsi="Times New Roman" w:cs="Times New Roman"/>
          <w:b w:val="0"/>
          <w:bCs w:val="0"/>
          <w:sz w:val="22"/>
          <w:szCs w:val="22"/>
          <w:lang w:val="en-GB"/>
        </w:rPr>
        <w:t xml:space="preserve">To recommend legislative changes in terms of human rights as the right to expression is being </w:t>
      </w:r>
      <w:proofErr w:type="gramStart"/>
      <w:r w:rsidRPr="00CB2E83">
        <w:rPr>
          <w:rFonts w:ascii="Times New Roman" w:hAnsi="Times New Roman" w:cs="Times New Roman"/>
          <w:b w:val="0"/>
          <w:bCs w:val="0"/>
          <w:sz w:val="22"/>
          <w:szCs w:val="22"/>
          <w:lang w:val="en-GB"/>
        </w:rPr>
        <w:t>narrowed</w:t>
      </w:r>
      <w:proofErr w:type="gramEnd"/>
    </w:p>
    <w:p w14:paraId="23222BC4" w14:textId="77777777" w:rsidR="00385F6E" w:rsidRPr="00CB2E83" w:rsidRDefault="00385F6E" w:rsidP="00385F6E">
      <w:pPr>
        <w:pStyle w:val="Heading1"/>
        <w:numPr>
          <w:ilvl w:val="0"/>
          <w:numId w:val="2"/>
        </w:numPr>
        <w:tabs>
          <w:tab w:val="clear" w:pos="720"/>
          <w:tab w:val="num" w:pos="360"/>
        </w:tabs>
        <w:spacing w:after="2"/>
        <w:ind w:left="140" w:firstLine="0"/>
        <w:rPr>
          <w:rFonts w:ascii="Times New Roman" w:hAnsi="Times New Roman" w:cs="Times New Roman"/>
          <w:b w:val="0"/>
          <w:bCs w:val="0"/>
          <w:sz w:val="22"/>
          <w:szCs w:val="22"/>
          <w:lang w:val="en-GB"/>
        </w:rPr>
      </w:pPr>
      <w:r w:rsidRPr="00CB2E83">
        <w:rPr>
          <w:rFonts w:ascii="Times New Roman" w:hAnsi="Times New Roman" w:cs="Times New Roman"/>
          <w:b w:val="0"/>
          <w:bCs w:val="0"/>
          <w:sz w:val="22"/>
          <w:szCs w:val="22"/>
          <w:lang w:val="en-GB"/>
        </w:rPr>
        <w:t xml:space="preserve">A proposed definition of hate speech which can be solidified into </w:t>
      </w:r>
      <w:proofErr w:type="gramStart"/>
      <w:r w:rsidRPr="00CB2E83">
        <w:rPr>
          <w:rFonts w:ascii="Times New Roman" w:hAnsi="Times New Roman" w:cs="Times New Roman"/>
          <w:b w:val="0"/>
          <w:bCs w:val="0"/>
          <w:sz w:val="22"/>
          <w:szCs w:val="22"/>
          <w:lang w:val="en-GB"/>
        </w:rPr>
        <w:t>legislation</w:t>
      </w:r>
      <w:proofErr w:type="gramEnd"/>
    </w:p>
    <w:p w14:paraId="70F5B652" w14:textId="77777777" w:rsidR="00385F6E" w:rsidRPr="00CB2E83" w:rsidRDefault="00385F6E" w:rsidP="00385F6E">
      <w:pPr>
        <w:pStyle w:val="Heading1"/>
        <w:numPr>
          <w:ilvl w:val="0"/>
          <w:numId w:val="2"/>
        </w:numPr>
        <w:tabs>
          <w:tab w:val="clear" w:pos="720"/>
          <w:tab w:val="num" w:pos="360"/>
        </w:tabs>
        <w:spacing w:after="2"/>
        <w:ind w:left="140" w:firstLine="0"/>
        <w:rPr>
          <w:rFonts w:ascii="Times New Roman" w:hAnsi="Times New Roman" w:cs="Times New Roman"/>
          <w:b w:val="0"/>
          <w:bCs w:val="0"/>
          <w:sz w:val="22"/>
          <w:szCs w:val="22"/>
          <w:lang w:val="en-GB"/>
        </w:rPr>
      </w:pPr>
      <w:r w:rsidRPr="00CB2E83">
        <w:rPr>
          <w:rFonts w:ascii="Times New Roman" w:hAnsi="Times New Roman" w:cs="Times New Roman"/>
          <w:b w:val="0"/>
          <w:bCs w:val="0"/>
          <w:sz w:val="22"/>
          <w:szCs w:val="22"/>
          <w:lang w:val="en-GB"/>
        </w:rPr>
        <w:t xml:space="preserve">An evaluation of the impact hate crime has on freedom of </w:t>
      </w:r>
      <w:proofErr w:type="gramStart"/>
      <w:r w:rsidRPr="00CB2E83">
        <w:rPr>
          <w:rFonts w:ascii="Times New Roman" w:hAnsi="Times New Roman" w:cs="Times New Roman"/>
          <w:b w:val="0"/>
          <w:bCs w:val="0"/>
          <w:sz w:val="22"/>
          <w:szCs w:val="22"/>
          <w:lang w:val="en-GB"/>
        </w:rPr>
        <w:t>expression</w:t>
      </w:r>
      <w:proofErr w:type="gramEnd"/>
    </w:p>
    <w:p w14:paraId="1D6069DE" w14:textId="77777777" w:rsidR="00385F6E" w:rsidRPr="00CB2E83" w:rsidRDefault="00385F6E" w:rsidP="00385F6E">
      <w:pPr>
        <w:pStyle w:val="Heading1"/>
        <w:numPr>
          <w:ilvl w:val="0"/>
          <w:numId w:val="2"/>
        </w:numPr>
        <w:tabs>
          <w:tab w:val="clear" w:pos="720"/>
          <w:tab w:val="num" w:pos="360"/>
        </w:tabs>
        <w:spacing w:after="2"/>
        <w:ind w:left="140" w:firstLine="0"/>
        <w:rPr>
          <w:rFonts w:ascii="Times New Roman" w:hAnsi="Times New Roman" w:cs="Times New Roman"/>
          <w:b w:val="0"/>
          <w:bCs w:val="0"/>
          <w:sz w:val="22"/>
          <w:szCs w:val="22"/>
        </w:rPr>
      </w:pPr>
      <w:r w:rsidRPr="00CB2E83">
        <w:rPr>
          <w:rFonts w:ascii="Times New Roman" w:hAnsi="Times New Roman" w:cs="Times New Roman"/>
          <w:b w:val="0"/>
          <w:bCs w:val="0"/>
          <w:sz w:val="22"/>
          <w:szCs w:val="22"/>
          <w:lang w:val="en-GB"/>
        </w:rPr>
        <w:t>An evaluation of the impact speech has as a manifestation of a belief</w:t>
      </w:r>
    </w:p>
    <w:p w14:paraId="16CA29B7" w14:textId="77777777" w:rsidR="00385F6E" w:rsidRPr="00CB2E83" w:rsidRDefault="00385F6E" w:rsidP="00385F6E">
      <w:pPr>
        <w:pStyle w:val="Heading1"/>
        <w:spacing w:after="2"/>
        <w:ind w:left="0"/>
        <w:jc w:val="both"/>
        <w:rPr>
          <w:rFonts w:ascii="Times New Roman" w:hAnsi="Times New Roman" w:cs="Times New Roman"/>
          <w:sz w:val="22"/>
          <w:szCs w:val="22"/>
          <w:u w:val="single"/>
        </w:rPr>
      </w:pPr>
      <w:r w:rsidRPr="00CB2E83">
        <w:rPr>
          <w:rFonts w:ascii="Times New Roman" w:hAnsi="Times New Roman" w:cs="Times New Roman"/>
          <w:sz w:val="22"/>
          <w:szCs w:val="22"/>
          <w:u w:val="single"/>
        </w:rPr>
        <w:t>Overview</w:t>
      </w:r>
    </w:p>
    <w:p w14:paraId="64AF1091" w14:textId="77777777" w:rsidR="00385F6E" w:rsidRPr="00CB2E83" w:rsidRDefault="00385F6E" w:rsidP="00385F6E">
      <w:pPr>
        <w:pStyle w:val="Heading1"/>
        <w:spacing w:after="2"/>
        <w:ind w:left="0"/>
        <w:jc w:val="both"/>
        <w:rPr>
          <w:rFonts w:ascii="Times New Roman" w:hAnsi="Times New Roman" w:cs="Times New Roman"/>
          <w:b w:val="0"/>
          <w:bCs w:val="0"/>
          <w:sz w:val="22"/>
          <w:szCs w:val="22"/>
        </w:rPr>
      </w:pPr>
      <w:r w:rsidRPr="00CB2E83">
        <w:rPr>
          <w:rFonts w:ascii="Times New Roman" w:hAnsi="Times New Roman" w:cs="Times New Roman"/>
          <w:b w:val="0"/>
          <w:bCs w:val="0"/>
          <w:sz w:val="22"/>
          <w:szCs w:val="22"/>
        </w:rPr>
        <w:t>“Gender-critical beliefs refer to the view that someone’s sex – whether they are male or female – is biological and immutable and cannot be conflated with someone’s gender identity, whether they identify as a man or a woman.”</w:t>
      </w:r>
      <w:r w:rsidRPr="00CB2E83">
        <w:rPr>
          <w:rStyle w:val="FootnoteReference"/>
          <w:rFonts w:ascii="Times New Roman" w:hAnsi="Times New Roman" w:cs="Times New Roman"/>
          <w:sz w:val="22"/>
          <w:szCs w:val="22"/>
        </w:rPr>
        <w:footnoteReference w:id="1"/>
      </w:r>
      <w:r w:rsidRPr="00CB2E83">
        <w:rPr>
          <w:rFonts w:ascii="Times New Roman" w:hAnsi="Times New Roman" w:cs="Times New Roman"/>
          <w:b w:val="0"/>
          <w:bCs w:val="0"/>
          <w:sz w:val="22"/>
          <w:szCs w:val="22"/>
        </w:rPr>
        <w:t xml:space="preserve"> A growing number of people have been more vocal about this view with varying results. Maya </w:t>
      </w:r>
      <w:proofErr w:type="spellStart"/>
      <w:r w:rsidRPr="00CB2E83">
        <w:rPr>
          <w:rFonts w:ascii="Times New Roman" w:hAnsi="Times New Roman" w:cs="Times New Roman"/>
          <w:b w:val="0"/>
          <w:bCs w:val="0"/>
          <w:sz w:val="22"/>
          <w:szCs w:val="22"/>
        </w:rPr>
        <w:t>Forstater</w:t>
      </w:r>
      <w:proofErr w:type="spellEnd"/>
      <w:r w:rsidRPr="00CB2E83">
        <w:rPr>
          <w:rFonts w:ascii="Times New Roman" w:hAnsi="Times New Roman" w:cs="Times New Roman"/>
          <w:b w:val="0"/>
          <w:bCs w:val="0"/>
          <w:sz w:val="22"/>
          <w:szCs w:val="22"/>
        </w:rPr>
        <w:t xml:space="preserve"> lost paid work because she shared her views online,</w:t>
      </w:r>
      <w:r w:rsidRPr="00CB2E83">
        <w:rPr>
          <w:rStyle w:val="FootnoteReference"/>
          <w:rFonts w:ascii="Times New Roman" w:hAnsi="Times New Roman" w:cs="Times New Roman"/>
          <w:sz w:val="22"/>
          <w:szCs w:val="22"/>
        </w:rPr>
        <w:footnoteReference w:id="2"/>
      </w:r>
      <w:r w:rsidRPr="00CB2E83">
        <w:rPr>
          <w:rFonts w:ascii="Times New Roman" w:hAnsi="Times New Roman" w:cs="Times New Roman"/>
          <w:b w:val="0"/>
          <w:bCs w:val="0"/>
          <w:sz w:val="22"/>
          <w:szCs w:val="22"/>
        </w:rPr>
        <w:t xml:space="preserve"> Harry Miller</w:t>
      </w:r>
      <w:r w:rsidRPr="00CB2E83">
        <w:rPr>
          <w:rStyle w:val="FootnoteReference"/>
          <w:rFonts w:ascii="Times New Roman" w:hAnsi="Times New Roman" w:cs="Times New Roman"/>
          <w:sz w:val="22"/>
          <w:szCs w:val="22"/>
        </w:rPr>
        <w:footnoteReference w:id="3"/>
      </w:r>
      <w:r w:rsidRPr="00CB2E83">
        <w:rPr>
          <w:rFonts w:ascii="Times New Roman" w:hAnsi="Times New Roman" w:cs="Times New Roman"/>
          <w:b w:val="0"/>
          <w:bCs w:val="0"/>
          <w:sz w:val="22"/>
          <w:szCs w:val="22"/>
        </w:rPr>
        <w:t xml:space="preserve"> was arrested for tweets he shared in response to government plans to change the Gender Recognition Act,</w:t>
      </w:r>
      <w:r w:rsidRPr="00CB2E83">
        <w:rPr>
          <w:rStyle w:val="FootnoteReference"/>
          <w:rFonts w:ascii="Times New Roman" w:hAnsi="Times New Roman" w:cs="Times New Roman"/>
          <w:sz w:val="22"/>
          <w:szCs w:val="22"/>
        </w:rPr>
        <w:footnoteReference w:id="4"/>
      </w:r>
      <w:r w:rsidRPr="00CB2E83">
        <w:rPr>
          <w:rFonts w:ascii="Times New Roman" w:hAnsi="Times New Roman" w:cs="Times New Roman"/>
          <w:b w:val="0"/>
          <w:bCs w:val="0"/>
          <w:sz w:val="22"/>
          <w:szCs w:val="22"/>
        </w:rPr>
        <w:t xml:space="preserve"> Kate </w:t>
      </w:r>
      <w:proofErr w:type="spellStart"/>
      <w:r w:rsidRPr="00CB2E83">
        <w:rPr>
          <w:rFonts w:ascii="Times New Roman" w:hAnsi="Times New Roman" w:cs="Times New Roman"/>
          <w:b w:val="0"/>
          <w:bCs w:val="0"/>
          <w:sz w:val="22"/>
          <w:szCs w:val="22"/>
        </w:rPr>
        <w:t>Scottow</w:t>
      </w:r>
      <w:proofErr w:type="spellEnd"/>
      <w:r w:rsidRPr="00CB2E83">
        <w:rPr>
          <w:rFonts w:ascii="Times New Roman" w:hAnsi="Times New Roman" w:cs="Times New Roman"/>
          <w:b w:val="0"/>
          <w:bCs w:val="0"/>
          <w:sz w:val="22"/>
          <w:szCs w:val="22"/>
        </w:rPr>
        <w:t xml:space="preserve"> was arrested for referring to a transwoman as ‘he’ on social media,</w:t>
      </w:r>
      <w:r w:rsidRPr="00CB2E83">
        <w:rPr>
          <w:rStyle w:val="FootnoteReference"/>
          <w:rFonts w:ascii="Times New Roman" w:hAnsi="Times New Roman" w:cs="Times New Roman"/>
          <w:sz w:val="22"/>
          <w:szCs w:val="22"/>
        </w:rPr>
        <w:footnoteReference w:id="5"/>
      </w:r>
      <w:r w:rsidRPr="00CB2E83">
        <w:rPr>
          <w:rFonts w:ascii="Times New Roman" w:hAnsi="Times New Roman" w:cs="Times New Roman"/>
          <w:b w:val="0"/>
          <w:bCs w:val="0"/>
          <w:sz w:val="22"/>
          <w:szCs w:val="22"/>
        </w:rPr>
        <w:t xml:space="preserve"> Professor Jo Phoenix was cancelled from speaking at Essex University because of her ‘gender critical’ views,</w:t>
      </w:r>
      <w:r w:rsidRPr="00CB2E83">
        <w:rPr>
          <w:rStyle w:val="FootnoteReference"/>
          <w:rFonts w:ascii="Times New Roman" w:hAnsi="Times New Roman" w:cs="Times New Roman"/>
          <w:sz w:val="22"/>
          <w:szCs w:val="22"/>
        </w:rPr>
        <w:footnoteReference w:id="6"/>
      </w:r>
      <w:r w:rsidRPr="00CB2E83">
        <w:rPr>
          <w:rFonts w:ascii="Times New Roman" w:hAnsi="Times New Roman" w:cs="Times New Roman"/>
          <w:b w:val="0"/>
          <w:bCs w:val="0"/>
          <w:sz w:val="22"/>
          <w:szCs w:val="22"/>
        </w:rPr>
        <w:t xml:space="preserve"> and JK Rowling received death threats for sharing her ‘gender-critical’ views online.</w:t>
      </w:r>
      <w:r w:rsidRPr="00CB2E83">
        <w:rPr>
          <w:rStyle w:val="FootnoteReference"/>
          <w:rFonts w:ascii="Times New Roman" w:hAnsi="Times New Roman" w:cs="Times New Roman"/>
          <w:sz w:val="22"/>
          <w:szCs w:val="22"/>
        </w:rPr>
        <w:footnoteReference w:id="7"/>
      </w:r>
      <w:r w:rsidRPr="00CB2E83">
        <w:rPr>
          <w:rFonts w:ascii="Times New Roman" w:hAnsi="Times New Roman" w:cs="Times New Roman"/>
          <w:b w:val="0"/>
          <w:bCs w:val="0"/>
          <w:sz w:val="22"/>
          <w:szCs w:val="22"/>
        </w:rPr>
        <w:t xml:space="preserve"> In all cases, the theme which connects them is their shared gender-critical views being determined as hateful yet each one saw either a person discriminated, </w:t>
      </w:r>
      <w:proofErr w:type="spellStart"/>
      <w:r w:rsidRPr="00CB2E83">
        <w:rPr>
          <w:rFonts w:ascii="Times New Roman" w:hAnsi="Times New Roman" w:cs="Times New Roman"/>
          <w:b w:val="0"/>
          <w:bCs w:val="0"/>
          <w:sz w:val="22"/>
          <w:szCs w:val="22"/>
        </w:rPr>
        <w:t>criminalised</w:t>
      </w:r>
      <w:proofErr w:type="spellEnd"/>
      <w:r w:rsidRPr="00CB2E83">
        <w:rPr>
          <w:rFonts w:ascii="Times New Roman" w:hAnsi="Times New Roman" w:cs="Times New Roman"/>
          <w:b w:val="0"/>
          <w:bCs w:val="0"/>
          <w:sz w:val="22"/>
          <w:szCs w:val="22"/>
        </w:rPr>
        <w:t xml:space="preserve">, censored or on the receiving end of hate themselves. Gender critical speech is becoming ever more a divisive, political, and toxic form of speech. Nancy Kelley, the chief executive of Stonewall has likened gender-critical beliefs to </w:t>
      </w:r>
      <w:proofErr w:type="spellStart"/>
      <w:r w:rsidRPr="00CB2E83">
        <w:rPr>
          <w:rFonts w:ascii="Times New Roman" w:hAnsi="Times New Roman" w:cs="Times New Roman"/>
          <w:b w:val="0"/>
          <w:bCs w:val="0"/>
          <w:sz w:val="22"/>
          <w:szCs w:val="22"/>
        </w:rPr>
        <w:t>anti-semitism</w:t>
      </w:r>
      <w:proofErr w:type="spellEnd"/>
      <w:r w:rsidRPr="00CB2E83">
        <w:rPr>
          <w:rFonts w:ascii="Times New Roman" w:hAnsi="Times New Roman" w:cs="Times New Roman"/>
          <w:b w:val="0"/>
          <w:bCs w:val="0"/>
          <w:sz w:val="22"/>
          <w:szCs w:val="22"/>
        </w:rPr>
        <w:t xml:space="preserve"> because of the extreme nature of the views and the insistence that the viewpoint is targeting a protected characteristic such as sexuality, gender identity, and race.</w:t>
      </w:r>
      <w:r w:rsidRPr="00CB2E83">
        <w:rPr>
          <w:rStyle w:val="FootnoteReference"/>
          <w:rFonts w:ascii="Times New Roman" w:hAnsi="Times New Roman" w:cs="Times New Roman"/>
          <w:sz w:val="22"/>
          <w:szCs w:val="22"/>
        </w:rPr>
        <w:footnoteReference w:id="8"/>
      </w:r>
    </w:p>
    <w:p w14:paraId="2B1B88A2" w14:textId="77777777" w:rsidR="00385F6E" w:rsidRPr="00CB2E83" w:rsidRDefault="00385F6E" w:rsidP="00385F6E">
      <w:pPr>
        <w:pStyle w:val="Heading1"/>
        <w:spacing w:after="2"/>
        <w:ind w:left="0"/>
        <w:jc w:val="both"/>
        <w:rPr>
          <w:rFonts w:ascii="Times New Roman" w:hAnsi="Times New Roman" w:cs="Times New Roman"/>
          <w:b w:val="0"/>
          <w:bCs w:val="0"/>
          <w:sz w:val="22"/>
          <w:szCs w:val="22"/>
        </w:rPr>
      </w:pPr>
      <w:r w:rsidRPr="00CB2E83">
        <w:rPr>
          <w:rFonts w:ascii="Times New Roman" w:hAnsi="Times New Roman" w:cs="Times New Roman"/>
          <w:b w:val="0"/>
          <w:bCs w:val="0"/>
          <w:sz w:val="22"/>
          <w:szCs w:val="22"/>
        </w:rPr>
        <w:t>Yet, people have the right to freedom of expression, a right which is considered the cornerstone of democracy. A right, which allows all viewpoints to be shared and considered without fear of legal sanction or censorship. A right which is at the essence of what it means to be human in the way we communicate. The right which permits words which shock and offend…. Such are the demands of pluralism and tolerance… without which there is no democratic society.</w:t>
      </w:r>
      <w:r w:rsidRPr="00CB2E83">
        <w:rPr>
          <w:rStyle w:val="FootnoteReference"/>
          <w:rFonts w:ascii="Times New Roman" w:hAnsi="Times New Roman" w:cs="Times New Roman"/>
          <w:sz w:val="22"/>
          <w:szCs w:val="22"/>
        </w:rPr>
        <w:footnoteReference w:id="9"/>
      </w:r>
      <w:r w:rsidRPr="00CB2E83">
        <w:rPr>
          <w:rFonts w:ascii="Times New Roman" w:hAnsi="Times New Roman" w:cs="Times New Roman"/>
          <w:b w:val="0"/>
          <w:bCs w:val="0"/>
          <w:sz w:val="22"/>
          <w:szCs w:val="22"/>
        </w:rPr>
        <w:t xml:space="preserve"> It accepts the “</w:t>
      </w:r>
      <w:r w:rsidRPr="00CB2E83">
        <w:rPr>
          <w:rFonts w:ascii="Times New Roman" w:eastAsia="Arial" w:hAnsi="Times New Roman" w:cs="Times New Roman"/>
          <w:b w:val="0"/>
          <w:bCs w:val="0"/>
          <w:color w:val="000000" w:themeColor="text1"/>
          <w:sz w:val="22"/>
          <w:szCs w:val="22"/>
        </w:rPr>
        <w:t>the irritating, the contentious, the eccentric, the heretical, the unwelcome and the provocative”</w:t>
      </w:r>
      <w:r w:rsidRPr="00CB2E83">
        <w:rPr>
          <w:rStyle w:val="FootnoteReference"/>
          <w:rFonts w:ascii="Times New Roman" w:eastAsia="Arial" w:hAnsi="Times New Roman" w:cs="Times New Roman"/>
          <w:color w:val="000000" w:themeColor="text1"/>
          <w:sz w:val="22"/>
          <w:szCs w:val="22"/>
        </w:rPr>
        <w:footnoteReference w:id="10"/>
      </w:r>
      <w:r w:rsidRPr="00CB2E83">
        <w:rPr>
          <w:rFonts w:ascii="Times New Roman" w:eastAsia="Arial" w:hAnsi="Times New Roman" w:cs="Times New Roman"/>
          <w:b w:val="0"/>
          <w:bCs w:val="0"/>
          <w:color w:val="000000" w:themeColor="text1"/>
          <w:sz w:val="22"/>
          <w:szCs w:val="22"/>
        </w:rPr>
        <w:t xml:space="preserve"> however, increasingly, opinions and views are being labelled as hate speech without their being a</w:t>
      </w:r>
      <w:r w:rsidRPr="00CB2E83">
        <w:rPr>
          <w:rFonts w:ascii="Times New Roman" w:hAnsi="Times New Roman" w:cs="Times New Roman"/>
          <w:b w:val="0"/>
          <w:bCs w:val="0"/>
          <w:sz w:val="22"/>
          <w:szCs w:val="22"/>
        </w:rPr>
        <w:t xml:space="preserve"> universal definition of ‘hate speech’ which raises concerns. </w:t>
      </w:r>
    </w:p>
    <w:p w14:paraId="5A556F4A" w14:textId="77777777" w:rsidR="00385F6E" w:rsidRPr="00CB2E83" w:rsidRDefault="00385F6E" w:rsidP="00385F6E">
      <w:pPr>
        <w:rPr>
          <w:rFonts w:ascii="Times New Roman" w:eastAsia="Arial" w:hAnsi="Times New Roman" w:cs="Times New Roman"/>
          <w:u w:val="single"/>
        </w:rPr>
      </w:pPr>
      <w:r w:rsidRPr="00CB2E83">
        <w:rPr>
          <w:rFonts w:ascii="Times New Roman" w:eastAsia="Arial" w:hAnsi="Times New Roman" w:cs="Times New Roman"/>
          <w:u w:val="single"/>
        </w:rPr>
        <w:br w:type="page"/>
      </w:r>
    </w:p>
    <w:p w14:paraId="1A9B4BD1" w14:textId="77777777" w:rsidR="00385F6E" w:rsidRPr="00CB2E83" w:rsidRDefault="00385F6E" w:rsidP="00385F6E">
      <w:pPr>
        <w:widowControl w:val="0"/>
        <w:autoSpaceDE w:val="0"/>
        <w:autoSpaceDN w:val="0"/>
        <w:spacing w:before="91" w:after="2" w:line="240" w:lineRule="auto"/>
        <w:jc w:val="both"/>
        <w:outlineLvl w:val="0"/>
        <w:rPr>
          <w:rFonts w:ascii="Times New Roman" w:eastAsia="Cambria" w:hAnsi="Times New Roman" w:cs="Times New Roman"/>
          <w:lang w:val="en-US" w:eastAsia="en-US"/>
        </w:rPr>
      </w:pPr>
      <w:r w:rsidRPr="00CB2E83">
        <w:rPr>
          <w:rFonts w:ascii="Times New Roman" w:eastAsia="Cambria" w:hAnsi="Times New Roman" w:cs="Times New Roman"/>
          <w:lang w:val="en-US" w:eastAsia="en-US"/>
        </w:rPr>
        <w:lastRenderedPageBreak/>
        <w:t xml:space="preserve">A further concern rests in the abuse which stems from people’s expression, Laud notes </w:t>
      </w:r>
      <w:r w:rsidRPr="00CB2E83">
        <w:rPr>
          <w:rFonts w:ascii="Times New Roman" w:eastAsia="Cambria" w:hAnsi="Times New Roman" w:cs="Times New Roman"/>
          <w:color w:val="000000" w:themeColor="text1"/>
          <w:lang w:val="en-US" w:eastAsia="en-US"/>
        </w:rPr>
        <w:t>“</w:t>
      </w:r>
      <w:r w:rsidRPr="00CB2E83">
        <w:rPr>
          <w:rFonts w:ascii="Times New Roman" w:eastAsia="Cambria" w:hAnsi="Times New Roman" w:cs="Times New Roman"/>
          <w:color w:val="000000" w:themeColor="text1"/>
          <w:spacing w:val="5"/>
          <w:lang w:val="en-US" w:eastAsia="en-US"/>
        </w:rPr>
        <w:t>more and more people have moved online, individuals inclined toward racism, misogyny, or homophobia have found niches that can reinforce their views and goad them to violence.”</w:t>
      </w:r>
      <w:r w:rsidRPr="00CB2E83">
        <w:rPr>
          <w:rFonts w:ascii="Times New Roman" w:eastAsia="Cambria" w:hAnsi="Times New Roman" w:cs="Times New Roman"/>
          <w:color w:val="000000" w:themeColor="text1"/>
          <w:spacing w:val="5"/>
          <w:vertAlign w:val="superscript"/>
          <w:lang w:val="en-US" w:eastAsia="en-US"/>
        </w:rPr>
        <w:footnoteReference w:id="11"/>
      </w:r>
      <w:r w:rsidRPr="00CB2E83">
        <w:rPr>
          <w:rFonts w:ascii="Times New Roman" w:eastAsia="Cambria" w:hAnsi="Times New Roman" w:cs="Times New Roman"/>
          <w:color w:val="000000" w:themeColor="text1"/>
          <w:spacing w:val="5"/>
          <w:lang w:val="en-US" w:eastAsia="en-US"/>
        </w:rPr>
        <w:t xml:space="preserve"> </w:t>
      </w:r>
      <w:r w:rsidRPr="00CB2E83">
        <w:rPr>
          <w:rFonts w:ascii="Times New Roman" w:eastAsia="Cambria" w:hAnsi="Times New Roman" w:cs="Times New Roman"/>
          <w:lang w:val="en-US" w:eastAsia="en-US"/>
        </w:rPr>
        <w:t>Amnesty International attest that women are more susceptible to receiving hate online which flows through to offline abuse.</w:t>
      </w:r>
      <w:r w:rsidRPr="00CB2E83">
        <w:rPr>
          <w:rFonts w:ascii="Times New Roman" w:eastAsia="Cambria" w:hAnsi="Times New Roman" w:cs="Times New Roman"/>
          <w:vertAlign w:val="superscript"/>
          <w:lang w:val="en-US" w:eastAsia="en-US"/>
        </w:rPr>
        <w:footnoteReference w:id="12"/>
      </w:r>
      <w:r w:rsidRPr="00CB2E83">
        <w:rPr>
          <w:rFonts w:ascii="Times New Roman" w:eastAsia="Cambria" w:hAnsi="Times New Roman" w:cs="Times New Roman"/>
          <w:lang w:val="en-US" w:eastAsia="en-US"/>
        </w:rPr>
        <w:t xml:space="preserve"> Yet women are not afforded the same level of protection comparative to transgender people.</w:t>
      </w:r>
      <w:r w:rsidRPr="00CB2E83">
        <w:rPr>
          <w:rFonts w:ascii="Times New Roman" w:eastAsia="Cambria" w:hAnsi="Times New Roman" w:cs="Times New Roman"/>
          <w:vertAlign w:val="superscript"/>
          <w:lang w:val="en-US" w:eastAsia="en-US"/>
        </w:rPr>
        <w:footnoteReference w:id="13"/>
      </w:r>
      <w:r w:rsidRPr="00CB2E83">
        <w:rPr>
          <w:rFonts w:ascii="Times New Roman" w:eastAsia="Cambria" w:hAnsi="Times New Roman" w:cs="Times New Roman"/>
          <w:lang w:val="en-US" w:eastAsia="en-US"/>
        </w:rPr>
        <w:t xml:space="preserve"> This creates further division and produces more hate. L</w:t>
      </w:r>
      <w:r w:rsidRPr="00CB2E83">
        <w:rPr>
          <w:rFonts w:ascii="Times New Roman" w:eastAsia="Cambria" w:hAnsi="Times New Roman" w:cs="Times New Roman"/>
          <w:color w:val="000000" w:themeColor="text1"/>
          <w:spacing w:val="5"/>
          <w:lang w:val="en-US" w:eastAsia="en-US"/>
        </w:rPr>
        <w:t xml:space="preserve">imited monitoring of social media means </w:t>
      </w:r>
      <w:r w:rsidRPr="00CB2E83">
        <w:rPr>
          <w:rFonts w:ascii="Times New Roman" w:eastAsia="Cambria" w:hAnsi="Times New Roman" w:cs="Times New Roman"/>
          <w:lang w:val="en-US" w:eastAsia="en-US"/>
        </w:rPr>
        <w:t xml:space="preserve">unpopular or distasteful views can spread instantly, furthermore, content removal on social media means people face the risk of arrest for expressing unpopular opinions, or they are self-censoring, suggesting the basic right to freedom of “expression is being reduced. This research will evaluate the relationship between hate speech and the basic right to freedom of expression and whether it represents hate in the realm of gender. </w:t>
      </w:r>
    </w:p>
    <w:p w14:paraId="52B853E9" w14:textId="77777777" w:rsidR="00385F6E" w:rsidRPr="00CB2E83" w:rsidRDefault="00385F6E" w:rsidP="00385F6E">
      <w:pPr>
        <w:widowControl w:val="0"/>
        <w:autoSpaceDE w:val="0"/>
        <w:autoSpaceDN w:val="0"/>
        <w:spacing w:before="91" w:after="2" w:line="240" w:lineRule="auto"/>
        <w:jc w:val="both"/>
        <w:outlineLvl w:val="0"/>
        <w:rPr>
          <w:rFonts w:ascii="Times New Roman" w:eastAsia="Cambria" w:hAnsi="Times New Roman" w:cs="Times New Roman"/>
          <w:b/>
          <w:bCs/>
          <w:u w:val="single"/>
          <w:lang w:val="en-US" w:eastAsia="en-US"/>
        </w:rPr>
      </w:pPr>
      <w:r w:rsidRPr="00CB2E83">
        <w:rPr>
          <w:rFonts w:ascii="Times New Roman" w:eastAsia="Cambria" w:hAnsi="Times New Roman" w:cs="Times New Roman"/>
          <w:b/>
          <w:bCs/>
          <w:u w:val="single"/>
          <w:lang w:val="en-US" w:eastAsia="en-US"/>
        </w:rPr>
        <w:t xml:space="preserve">Lit Review </w:t>
      </w:r>
    </w:p>
    <w:p w14:paraId="0477FA53" w14:textId="77777777" w:rsidR="00385F6E" w:rsidRPr="00CB2E83" w:rsidRDefault="00385F6E" w:rsidP="00385F6E">
      <w:pPr>
        <w:spacing w:line="240" w:lineRule="auto"/>
        <w:jc w:val="both"/>
        <w:rPr>
          <w:rFonts w:ascii="Times New Roman" w:eastAsiaTheme="minorHAnsi" w:hAnsi="Times New Roman" w:cs="Times New Roman"/>
          <w:color w:val="282829"/>
          <w:shd w:val="clear" w:color="auto" w:fill="FFFFFF"/>
          <w:lang w:eastAsia="en-US"/>
        </w:rPr>
      </w:pPr>
      <w:r w:rsidRPr="00CB2E83">
        <w:rPr>
          <w:rFonts w:ascii="Times New Roman" w:eastAsia="Arial" w:hAnsi="Times New Roman" w:cs="Times New Roman"/>
          <w:lang w:eastAsia="en-US"/>
        </w:rPr>
        <w:t>There is no universal definition of hate speech, simply broad guidance at national, European, and international levels. It includes protecting a person/group from the incitement of violence or hate based on an immutable characteristic.</w:t>
      </w:r>
      <w:r w:rsidRPr="00CB2E83">
        <w:rPr>
          <w:rFonts w:ascii="Times New Roman" w:eastAsia="Arial" w:hAnsi="Times New Roman" w:cs="Times New Roman"/>
          <w:vertAlign w:val="superscript"/>
          <w:lang w:eastAsia="en-US"/>
        </w:rPr>
        <w:footnoteReference w:id="14"/>
      </w:r>
      <w:r w:rsidRPr="00CB2E83">
        <w:rPr>
          <w:rFonts w:ascii="Times New Roman" w:eastAsia="Arial" w:hAnsi="Times New Roman" w:cs="Times New Roman"/>
          <w:lang w:eastAsia="en-US"/>
        </w:rPr>
        <w:t xml:space="preserve"> However, the Universal Declaration of Human Rights includes gender as a ‘characteristic’ worthy of protection whereas Europe do not. Gender is argued as both an immutable characteristic and one that is not. In England, the legal framework includes a collective of statutes used to criminalise speech, these include Public Order Act</w:t>
      </w:r>
      <w:r w:rsidRPr="00CB2E83">
        <w:rPr>
          <w:rFonts w:ascii="Times New Roman" w:eastAsia="Arial" w:hAnsi="Times New Roman" w:cs="Times New Roman"/>
          <w:vertAlign w:val="superscript"/>
          <w:lang w:eastAsia="en-US"/>
        </w:rPr>
        <w:footnoteReference w:id="15"/>
      </w:r>
      <w:r w:rsidRPr="00CB2E83">
        <w:rPr>
          <w:rFonts w:ascii="Times New Roman" w:eastAsia="Arial" w:hAnsi="Times New Roman" w:cs="Times New Roman"/>
          <w:lang w:eastAsia="en-US"/>
        </w:rPr>
        <w:t>, Communications Act</w:t>
      </w:r>
      <w:r w:rsidRPr="00CB2E83">
        <w:rPr>
          <w:rFonts w:ascii="Times New Roman" w:eastAsia="Arial" w:hAnsi="Times New Roman" w:cs="Times New Roman"/>
          <w:vertAlign w:val="superscript"/>
          <w:lang w:eastAsia="en-US"/>
        </w:rPr>
        <w:footnoteReference w:id="16"/>
      </w:r>
      <w:r w:rsidRPr="00CB2E83">
        <w:rPr>
          <w:rFonts w:ascii="Times New Roman" w:eastAsia="Arial" w:hAnsi="Times New Roman" w:cs="Times New Roman"/>
          <w:lang w:eastAsia="en-US"/>
        </w:rPr>
        <w:t>, and Malicious Communications Act</w:t>
      </w:r>
      <w:r w:rsidRPr="00CB2E83">
        <w:rPr>
          <w:rFonts w:ascii="Times New Roman" w:eastAsia="Arial" w:hAnsi="Times New Roman" w:cs="Times New Roman"/>
          <w:vertAlign w:val="superscript"/>
          <w:lang w:eastAsia="en-US"/>
        </w:rPr>
        <w:footnoteReference w:id="17"/>
      </w:r>
      <w:r w:rsidRPr="00CB2E83">
        <w:rPr>
          <w:rFonts w:ascii="Times New Roman" w:eastAsia="Arial" w:hAnsi="Times New Roman" w:cs="Times New Roman"/>
          <w:lang w:eastAsia="en-US"/>
        </w:rPr>
        <w:t>. All of which align with the notion that there is an action associated with the speech. Yet, alongside these statutes is the Human Rights Act</w:t>
      </w:r>
      <w:r w:rsidRPr="00CB2E83">
        <w:rPr>
          <w:rFonts w:ascii="Times New Roman" w:eastAsia="Arial" w:hAnsi="Times New Roman" w:cs="Times New Roman"/>
          <w:vertAlign w:val="superscript"/>
          <w:lang w:eastAsia="en-US"/>
        </w:rPr>
        <w:footnoteReference w:id="18"/>
      </w:r>
      <w:r w:rsidRPr="00CB2E83">
        <w:rPr>
          <w:rFonts w:ascii="Times New Roman" w:eastAsia="Arial" w:hAnsi="Times New Roman" w:cs="Times New Roman"/>
          <w:lang w:eastAsia="en-US"/>
        </w:rPr>
        <w:t xml:space="preserve"> which affords a person the right to freedom of expression. The collection of various treaties and national laws covering human rights, equality and crime are adding to the confusion of whether an opinion is hateful because dependent on how a view is expressed and perceived will alter the avenue of legal recourse. The ‘opinion’ however, may be the same. Terms such as ‘stirring up’, ‘menacing’ and ‘grossly offensive’ are applied objectively to expression but the way we communicate is subjective and how we understand information is based upon perception, therefore, when cases are decided it is based upon looking at the context. For example, </w:t>
      </w:r>
      <w:r w:rsidRPr="00CB2E83">
        <w:rPr>
          <w:rFonts w:ascii="Times New Roman" w:eastAsia="Arial" w:hAnsi="Times New Roman" w:cs="Times New Roman"/>
          <w:i/>
          <w:iCs/>
          <w:lang w:eastAsia="en-US"/>
        </w:rPr>
        <w:t>Connolly</w:t>
      </w:r>
      <w:r w:rsidRPr="00CB2E83">
        <w:rPr>
          <w:rFonts w:ascii="Times New Roman" w:eastAsia="Arial" w:hAnsi="Times New Roman" w:cs="Times New Roman"/>
          <w:i/>
          <w:iCs/>
          <w:vertAlign w:val="superscript"/>
          <w:lang w:eastAsia="en-US"/>
        </w:rPr>
        <w:footnoteReference w:id="19"/>
      </w:r>
      <w:r w:rsidRPr="00CB2E83">
        <w:rPr>
          <w:rFonts w:ascii="Times New Roman" w:eastAsia="Arial" w:hAnsi="Times New Roman" w:cs="Times New Roman"/>
          <w:i/>
          <w:iCs/>
          <w:lang w:eastAsia="en-US"/>
        </w:rPr>
        <w:t xml:space="preserve"> </w:t>
      </w:r>
      <w:r w:rsidRPr="00CB2E83">
        <w:rPr>
          <w:rFonts w:ascii="Times New Roman" w:eastAsia="Arial" w:hAnsi="Times New Roman" w:cs="Times New Roman"/>
          <w:lang w:eastAsia="en-US"/>
        </w:rPr>
        <w:t xml:space="preserve">drew upon the actions of posting photographs of aborted </w:t>
      </w:r>
      <w:proofErr w:type="spellStart"/>
      <w:r w:rsidRPr="00CB2E83">
        <w:rPr>
          <w:rFonts w:ascii="Times New Roman" w:eastAsiaTheme="minorHAnsi" w:hAnsi="Times New Roman" w:cs="Times New Roman"/>
          <w:color w:val="282829"/>
          <w:shd w:val="clear" w:color="auto" w:fill="FFFFFF"/>
          <w:lang w:eastAsia="en-US"/>
        </w:rPr>
        <w:t>fœtus’s</w:t>
      </w:r>
      <w:proofErr w:type="spellEnd"/>
      <w:r w:rsidRPr="00CB2E83">
        <w:rPr>
          <w:rFonts w:ascii="Times New Roman" w:eastAsiaTheme="minorHAnsi" w:hAnsi="Times New Roman" w:cs="Times New Roman"/>
          <w:color w:val="282829"/>
          <w:shd w:val="clear" w:color="auto" w:fill="FFFFFF"/>
          <w:lang w:eastAsia="en-US"/>
        </w:rPr>
        <w:t xml:space="preserve"> to three pharmacists. The action of posting the photos was enough to satisfy the threshold of causing anxiety and distress even though that was not the intention. Whereas a conviction was quashed in </w:t>
      </w:r>
      <w:r w:rsidRPr="00CB2E83">
        <w:rPr>
          <w:rFonts w:ascii="Times New Roman" w:eastAsiaTheme="minorHAnsi" w:hAnsi="Times New Roman" w:cs="Times New Roman"/>
          <w:i/>
          <w:iCs/>
          <w:color w:val="282829"/>
          <w:shd w:val="clear" w:color="auto" w:fill="FFFFFF"/>
          <w:lang w:eastAsia="en-US"/>
        </w:rPr>
        <w:t>Karsten</w:t>
      </w:r>
      <w:r w:rsidRPr="00CB2E83">
        <w:rPr>
          <w:rFonts w:ascii="Times New Roman" w:eastAsiaTheme="minorHAnsi" w:hAnsi="Times New Roman" w:cs="Times New Roman"/>
          <w:i/>
          <w:iCs/>
          <w:color w:val="282829"/>
          <w:shd w:val="clear" w:color="auto" w:fill="FFFFFF"/>
          <w:vertAlign w:val="superscript"/>
          <w:lang w:eastAsia="en-US"/>
        </w:rPr>
        <w:footnoteReference w:id="20"/>
      </w:r>
      <w:r w:rsidRPr="00CB2E83">
        <w:rPr>
          <w:rFonts w:ascii="Times New Roman" w:eastAsiaTheme="minorHAnsi" w:hAnsi="Times New Roman" w:cs="Times New Roman"/>
          <w:color w:val="282829"/>
          <w:shd w:val="clear" w:color="auto" w:fill="FFFFFF"/>
          <w:lang w:eastAsia="en-US"/>
        </w:rPr>
        <w:t xml:space="preserve"> as no threat or menace was deemed to exist in withheld phone calls which the respondent felt threatened by. Where gender has become a problem in the arena of ‘speech’ links to hate crime and equality principles. H</w:t>
      </w:r>
      <w:r w:rsidRPr="00CB2E83">
        <w:rPr>
          <w:rFonts w:ascii="Times New Roman" w:eastAsia="Arial" w:hAnsi="Times New Roman" w:cs="Times New Roman"/>
          <w:lang w:eastAsia="en-US"/>
        </w:rPr>
        <w:t xml:space="preserve">ate crime, for example, has five protected characteristics, race, religion, sexual orientation, disability, and transgender. Women, however, are not afforded protection as a characteristic, yet, looking at the broad and ambiguous concepts of hate speech, it could be argued that women sit within the heading of ‘immutable characteristic’. Very few statutes assist with defining ‘gender’ or ‘sex’ which adds the confusion as to what is acceptable in terms of speech under the subheading ‘gender’. </w:t>
      </w:r>
    </w:p>
    <w:p w14:paraId="09CAEC1E" w14:textId="77777777" w:rsidR="00385F6E" w:rsidRPr="00CB2E83" w:rsidRDefault="00385F6E" w:rsidP="00385F6E">
      <w:pPr>
        <w:spacing w:line="240" w:lineRule="auto"/>
        <w:jc w:val="both"/>
        <w:rPr>
          <w:rFonts w:ascii="Times New Roman" w:eastAsiaTheme="minorHAnsi" w:hAnsi="Times New Roman" w:cs="Times New Roman"/>
          <w:b/>
          <w:bCs/>
          <w:color w:val="282829"/>
          <w:u w:val="single"/>
          <w:shd w:val="clear" w:color="auto" w:fill="FFFFFF"/>
          <w:lang w:eastAsia="en-US"/>
        </w:rPr>
      </w:pPr>
      <w:r w:rsidRPr="00CB2E83">
        <w:rPr>
          <w:rFonts w:ascii="Times New Roman" w:eastAsiaTheme="minorHAnsi" w:hAnsi="Times New Roman" w:cs="Times New Roman"/>
          <w:b/>
          <w:bCs/>
          <w:color w:val="282829"/>
          <w:u w:val="single"/>
          <w:shd w:val="clear" w:color="auto" w:fill="FFFFFF"/>
          <w:lang w:eastAsia="en-US"/>
        </w:rPr>
        <w:t xml:space="preserve">Theory </w:t>
      </w:r>
    </w:p>
    <w:p w14:paraId="48D0E396" w14:textId="77777777" w:rsidR="00385F6E" w:rsidRPr="00CB2E83" w:rsidRDefault="00385F6E" w:rsidP="00385F6E">
      <w:pPr>
        <w:spacing w:line="240" w:lineRule="auto"/>
        <w:jc w:val="both"/>
        <w:rPr>
          <w:rFonts w:ascii="Times New Roman" w:hAnsi="Times New Roman" w:cs="Times New Roman"/>
          <w:b/>
          <w:bCs/>
        </w:rPr>
      </w:pPr>
      <w:r w:rsidRPr="00CB2E83">
        <w:rPr>
          <w:rFonts w:ascii="Times New Roman" w:eastAsiaTheme="minorHAnsi" w:hAnsi="Times New Roman" w:cs="Times New Roman"/>
          <w:lang w:eastAsia="en-US"/>
        </w:rPr>
        <w:t xml:space="preserve">Freedom of expression is a long-established principle which has been present in societies around the world for over </w:t>
      </w:r>
      <w:r w:rsidRPr="00CB2E83">
        <w:rPr>
          <w:rFonts w:ascii="Times New Roman" w:hAnsi="Times New Roman" w:cs="Times New Roman"/>
        </w:rPr>
        <w:t xml:space="preserve">the importance of expression however, founding theory surrounding expression </w:t>
      </w:r>
      <w:proofErr w:type="gramStart"/>
      <w:r w:rsidRPr="00CB2E83">
        <w:rPr>
          <w:rFonts w:ascii="Times New Roman" w:hAnsi="Times New Roman" w:cs="Times New Roman"/>
        </w:rPr>
        <w:t>dates back to</w:t>
      </w:r>
      <w:proofErr w:type="gramEnd"/>
      <w:r w:rsidRPr="00CB2E83">
        <w:rPr>
          <w:rFonts w:ascii="Times New Roman" w:hAnsi="Times New Roman" w:cs="Times New Roman"/>
        </w:rPr>
        <w:t xml:space="preserve"> Ancient Greece where Socrates devised a way of questioning called </w:t>
      </w:r>
      <w:r w:rsidRPr="00CB2E83">
        <w:rPr>
          <w:rFonts w:ascii="Times New Roman" w:hAnsi="Times New Roman" w:cs="Times New Roman"/>
          <w:i/>
          <w:iCs/>
        </w:rPr>
        <w:t>Elenchus</w:t>
      </w:r>
      <w:r w:rsidRPr="00CB2E83">
        <w:rPr>
          <w:rStyle w:val="FootnoteReference"/>
          <w:rFonts w:ascii="Times New Roman" w:hAnsi="Times New Roman" w:cs="Times New Roman"/>
          <w:b/>
          <w:bCs/>
          <w:i/>
          <w:iCs/>
        </w:rPr>
        <w:footnoteReference w:id="21"/>
      </w:r>
      <w:r w:rsidRPr="00CB2E83">
        <w:rPr>
          <w:rFonts w:ascii="Times New Roman" w:hAnsi="Times New Roman" w:cs="Times New Roman"/>
          <w:i/>
          <w:iCs/>
        </w:rPr>
        <w:t xml:space="preserve"> </w:t>
      </w:r>
      <w:r w:rsidRPr="00CB2E83">
        <w:rPr>
          <w:rFonts w:ascii="Times New Roman" w:hAnsi="Times New Roman" w:cs="Times New Roman"/>
        </w:rPr>
        <w:t xml:space="preserve">which focused on people challenging each other’s arguments or statements as a way of determining ‘truth’. It </w:t>
      </w:r>
      <w:r w:rsidRPr="00CB2E83">
        <w:rPr>
          <w:rFonts w:ascii="Times New Roman" w:hAnsi="Times New Roman" w:cs="Times New Roman"/>
        </w:rPr>
        <w:lastRenderedPageBreak/>
        <w:t xml:space="preserve">influenced legal systems as it is the foundation for cross-examination of witnesses, the importance of this technique being that by accepting all viewpoints you allow for greater understanding within the sphere of knowledge. Another movement which saw a transition to the importance of expression was censorship. John Milton discussed this in his work </w:t>
      </w:r>
      <w:proofErr w:type="spellStart"/>
      <w:r w:rsidRPr="00CB2E83">
        <w:rPr>
          <w:rFonts w:ascii="Times New Roman" w:hAnsi="Times New Roman" w:cs="Times New Roman"/>
        </w:rPr>
        <w:t>Areopagitica</w:t>
      </w:r>
      <w:proofErr w:type="spellEnd"/>
      <w:r w:rsidRPr="00CB2E83">
        <w:rPr>
          <w:rFonts w:ascii="Times New Roman" w:hAnsi="Times New Roman" w:cs="Times New Roman"/>
        </w:rPr>
        <w:t xml:space="preserve"> where he addressed parliament over the proposed reinstatement of licensing of books and pamphlets where he recognised that while censorship may come from the </w:t>
      </w:r>
      <w:proofErr w:type="spellStart"/>
      <w:r w:rsidRPr="00CB2E83">
        <w:rPr>
          <w:rFonts w:ascii="Times New Roman" w:hAnsi="Times New Roman" w:cs="Times New Roman"/>
        </w:rPr>
        <w:t>pretense</w:t>
      </w:r>
      <w:proofErr w:type="spellEnd"/>
      <w:r w:rsidRPr="00CB2E83">
        <w:rPr>
          <w:rFonts w:ascii="Times New Roman" w:hAnsi="Times New Roman" w:cs="Times New Roman"/>
        </w:rPr>
        <w:t xml:space="preserve"> of good it opens the door to </w:t>
      </w:r>
      <w:proofErr w:type="spellStart"/>
      <w:r w:rsidRPr="00CB2E83">
        <w:rPr>
          <w:rFonts w:ascii="Times New Roman" w:hAnsi="Times New Roman" w:cs="Times New Roman"/>
        </w:rPr>
        <w:t>he</w:t>
      </w:r>
      <w:proofErr w:type="spellEnd"/>
      <w:r w:rsidRPr="00CB2E83">
        <w:rPr>
          <w:rFonts w:ascii="Times New Roman" w:hAnsi="Times New Roman" w:cs="Times New Roman"/>
        </w:rPr>
        <w:t xml:space="preserve"> misuse of government and oppression of people.</w:t>
      </w:r>
      <w:r w:rsidRPr="00CB2E83">
        <w:rPr>
          <w:rStyle w:val="FootnoteReference"/>
          <w:rFonts w:ascii="Times New Roman" w:hAnsi="Times New Roman" w:cs="Times New Roman"/>
          <w:b/>
          <w:bCs/>
        </w:rPr>
        <w:footnoteReference w:id="22"/>
      </w:r>
      <w:r w:rsidRPr="00CB2E83">
        <w:rPr>
          <w:rFonts w:ascii="Times New Roman" w:hAnsi="Times New Roman" w:cs="Times New Roman"/>
        </w:rPr>
        <w:t xml:space="preserve"> This fear has continued through to modern day where the EU has been discussing the ‘chilling effect’ censorship has people in so far as the negative effect legal sanctions can have in suppressing what people say, it goes against the grain of the natural/legal person. Finally, another key figure to discuss is that of John Stuart Mill who wrote ‘on liberty’</w:t>
      </w:r>
      <w:r w:rsidRPr="00CB2E83">
        <w:rPr>
          <w:rStyle w:val="FootnoteReference"/>
          <w:rFonts w:ascii="Times New Roman" w:hAnsi="Times New Roman" w:cs="Times New Roman"/>
          <w:b/>
          <w:bCs/>
        </w:rPr>
        <w:footnoteReference w:id="23"/>
      </w:r>
      <w:r w:rsidRPr="00CB2E83">
        <w:rPr>
          <w:rFonts w:ascii="Times New Roman" w:hAnsi="Times New Roman" w:cs="Times New Roman"/>
        </w:rPr>
        <w:t xml:space="preserve">, Mill’s focus was of tolerance towards each other </w:t>
      </w:r>
      <w:proofErr w:type="gramStart"/>
      <w:r w:rsidRPr="00CB2E83">
        <w:rPr>
          <w:rFonts w:ascii="Times New Roman" w:hAnsi="Times New Roman" w:cs="Times New Roman"/>
        </w:rPr>
        <w:t>in order to</w:t>
      </w:r>
      <w:proofErr w:type="gramEnd"/>
      <w:r w:rsidRPr="00CB2E83">
        <w:rPr>
          <w:rFonts w:ascii="Times New Roman" w:hAnsi="Times New Roman" w:cs="Times New Roman"/>
        </w:rPr>
        <w:t xml:space="preserve"> develop societies and was of the mindset that by allowing all ideas into the arena, collectively, people work together towards a shared agreement. The only time Mill supports the suppression of expression is when the truth is thought to be harmful towards another and this is where the legitimate restrictions can counter the right fully. However, where there is ambiguity is in the definition of the principle itself as there is no indicator on what specifically harm is, meaning when states interfere with this right and in some instances, excessively.</w:t>
      </w:r>
    </w:p>
    <w:p w14:paraId="10B7BD2C" w14:textId="77777777" w:rsidR="00385F6E" w:rsidRPr="00CB2E83" w:rsidRDefault="00385F6E" w:rsidP="00385F6E">
      <w:pPr>
        <w:pStyle w:val="Heading1"/>
        <w:spacing w:after="2"/>
        <w:ind w:left="0"/>
        <w:jc w:val="both"/>
        <w:rPr>
          <w:rFonts w:ascii="Times New Roman" w:hAnsi="Times New Roman" w:cs="Times New Roman"/>
          <w:b w:val="0"/>
          <w:bCs w:val="0"/>
          <w:sz w:val="22"/>
          <w:szCs w:val="22"/>
        </w:rPr>
      </w:pPr>
    </w:p>
    <w:p w14:paraId="73E105FE" w14:textId="77777777" w:rsidR="00385F6E" w:rsidRPr="00CB2E83" w:rsidRDefault="00385F6E" w:rsidP="00385F6E">
      <w:pPr>
        <w:shd w:val="clear" w:color="auto" w:fill="FFFFFF"/>
        <w:spacing w:after="0" w:line="240" w:lineRule="auto"/>
        <w:rPr>
          <w:rFonts w:ascii="Times New Roman" w:hAnsi="Times New Roman" w:cs="Times New Roman"/>
          <w:b/>
          <w:bCs/>
          <w:u w:val="single"/>
        </w:rPr>
      </w:pPr>
      <w:r w:rsidRPr="00CB2E83">
        <w:rPr>
          <w:rFonts w:ascii="Times New Roman" w:hAnsi="Times New Roman" w:cs="Times New Roman"/>
          <w:b/>
          <w:bCs/>
          <w:u w:val="single"/>
        </w:rPr>
        <w:t>Reference List</w:t>
      </w:r>
    </w:p>
    <w:p w14:paraId="1AAFC648" w14:textId="77777777" w:rsidR="00385F6E" w:rsidRPr="00CB2E83" w:rsidRDefault="00385F6E" w:rsidP="00385F6E">
      <w:pPr>
        <w:pStyle w:val="FootnoteText"/>
        <w:rPr>
          <w:rFonts w:ascii="Times New Roman" w:hAnsi="Times New Roman" w:cs="Times New Roman"/>
          <w:sz w:val="22"/>
          <w:szCs w:val="22"/>
        </w:rPr>
      </w:pPr>
      <w:r w:rsidRPr="00CB2E83">
        <w:rPr>
          <w:rFonts w:ascii="Times New Roman" w:hAnsi="Times New Roman" w:cs="Times New Roman"/>
          <w:sz w:val="22"/>
          <w:szCs w:val="22"/>
        </w:rPr>
        <w:t>Article | ‘Online abuse of women widespread in the UK’ (20</w:t>
      </w:r>
      <w:r w:rsidRPr="00CB2E83">
        <w:rPr>
          <w:rFonts w:ascii="Times New Roman" w:hAnsi="Times New Roman" w:cs="Times New Roman"/>
          <w:sz w:val="22"/>
          <w:szCs w:val="22"/>
          <w:vertAlign w:val="superscript"/>
        </w:rPr>
        <w:t>th</w:t>
      </w:r>
      <w:r w:rsidRPr="00CB2E83">
        <w:rPr>
          <w:rFonts w:ascii="Times New Roman" w:hAnsi="Times New Roman" w:cs="Times New Roman"/>
          <w:sz w:val="22"/>
          <w:szCs w:val="22"/>
        </w:rPr>
        <w:t xml:space="preserve"> September 2023) &lt;</w:t>
      </w:r>
      <w:hyperlink r:id="rId7" w:history="1">
        <w:r w:rsidRPr="00CB2E83">
          <w:rPr>
            <w:rStyle w:val="Hyperlink"/>
            <w:rFonts w:ascii="Times New Roman" w:hAnsi="Times New Roman" w:cs="Times New Roman"/>
            <w:sz w:val="22"/>
            <w:szCs w:val="22"/>
          </w:rPr>
          <w:t>Online abuse of women widespread in UK | Amnesty International UK</w:t>
        </w:r>
      </w:hyperlink>
      <w:r w:rsidRPr="00CB2E83">
        <w:rPr>
          <w:rFonts w:ascii="Times New Roman" w:hAnsi="Times New Roman" w:cs="Times New Roman"/>
          <w:sz w:val="22"/>
          <w:szCs w:val="22"/>
        </w:rPr>
        <w:t>&gt; accessed 20</w:t>
      </w:r>
      <w:r w:rsidRPr="00CB2E83">
        <w:rPr>
          <w:rFonts w:ascii="Times New Roman" w:hAnsi="Times New Roman" w:cs="Times New Roman"/>
          <w:sz w:val="22"/>
          <w:szCs w:val="22"/>
          <w:vertAlign w:val="superscript"/>
        </w:rPr>
        <w:t>th</w:t>
      </w:r>
      <w:r w:rsidRPr="00CB2E83">
        <w:rPr>
          <w:rFonts w:ascii="Times New Roman" w:hAnsi="Times New Roman" w:cs="Times New Roman"/>
          <w:sz w:val="22"/>
          <w:szCs w:val="22"/>
        </w:rPr>
        <w:t xml:space="preserve"> September 2023</w:t>
      </w:r>
    </w:p>
    <w:p w14:paraId="645665F0" w14:textId="77777777" w:rsidR="00385F6E" w:rsidRPr="00CB2E83" w:rsidRDefault="00385F6E" w:rsidP="00385F6E">
      <w:pPr>
        <w:pStyle w:val="FootnoteText"/>
        <w:rPr>
          <w:rFonts w:ascii="Times New Roman" w:hAnsi="Times New Roman" w:cs="Times New Roman"/>
          <w:sz w:val="22"/>
          <w:szCs w:val="22"/>
        </w:rPr>
      </w:pPr>
      <w:r w:rsidRPr="00CB2E83">
        <w:rPr>
          <w:rFonts w:ascii="Times New Roman" w:hAnsi="Times New Roman" w:cs="Times New Roman"/>
          <w:sz w:val="22"/>
          <w:szCs w:val="22"/>
        </w:rPr>
        <w:t>B Morrow | ‘J.K. Rowling’s transphobia controversy: A complete timeline’ (13</w:t>
      </w:r>
      <w:r w:rsidRPr="00CB2E83">
        <w:rPr>
          <w:rFonts w:ascii="Times New Roman" w:hAnsi="Times New Roman" w:cs="Times New Roman"/>
          <w:sz w:val="22"/>
          <w:szCs w:val="22"/>
          <w:vertAlign w:val="superscript"/>
        </w:rPr>
        <w:t>th</w:t>
      </w:r>
      <w:r w:rsidRPr="00CB2E83">
        <w:rPr>
          <w:rFonts w:ascii="Times New Roman" w:hAnsi="Times New Roman" w:cs="Times New Roman"/>
          <w:sz w:val="22"/>
          <w:szCs w:val="22"/>
        </w:rPr>
        <w:t xml:space="preserve"> Feb 2023) &lt;</w:t>
      </w:r>
      <w:hyperlink r:id="rId8" w:history="1">
        <w:r w:rsidRPr="00CB2E83">
          <w:rPr>
            <w:rStyle w:val="Hyperlink"/>
            <w:rFonts w:ascii="Times New Roman" w:hAnsi="Times New Roman" w:cs="Times New Roman"/>
            <w:sz w:val="22"/>
            <w:szCs w:val="22"/>
          </w:rPr>
          <w:t>J.K. Rowling's transphobia controversy: A complete timeline | The Week UK</w:t>
        </w:r>
      </w:hyperlink>
      <w:r w:rsidRPr="00CB2E83">
        <w:rPr>
          <w:rFonts w:ascii="Times New Roman" w:hAnsi="Times New Roman" w:cs="Times New Roman"/>
          <w:sz w:val="22"/>
          <w:szCs w:val="22"/>
        </w:rPr>
        <w:t>&gt; accessed 1</w:t>
      </w:r>
      <w:r w:rsidRPr="00CB2E83">
        <w:rPr>
          <w:rFonts w:ascii="Times New Roman" w:hAnsi="Times New Roman" w:cs="Times New Roman"/>
          <w:sz w:val="22"/>
          <w:szCs w:val="22"/>
          <w:vertAlign w:val="superscript"/>
        </w:rPr>
        <w:t>st</w:t>
      </w:r>
      <w:r w:rsidRPr="00CB2E83">
        <w:rPr>
          <w:rFonts w:ascii="Times New Roman" w:hAnsi="Times New Roman" w:cs="Times New Roman"/>
          <w:sz w:val="22"/>
          <w:szCs w:val="22"/>
        </w:rPr>
        <w:t xml:space="preserve"> November 2023</w:t>
      </w:r>
    </w:p>
    <w:p w14:paraId="6191815A" w14:textId="77777777" w:rsidR="00385F6E" w:rsidRPr="00CB2E83" w:rsidRDefault="00385F6E" w:rsidP="00385F6E">
      <w:pPr>
        <w:pStyle w:val="FootnoteText"/>
        <w:rPr>
          <w:rFonts w:ascii="Times New Roman" w:hAnsi="Times New Roman" w:cs="Times New Roman"/>
          <w:sz w:val="22"/>
          <w:szCs w:val="22"/>
        </w:rPr>
      </w:pPr>
      <w:r w:rsidRPr="00CB2E83">
        <w:rPr>
          <w:rFonts w:ascii="Times New Roman" w:hAnsi="Times New Roman" w:cs="Times New Roman"/>
          <w:sz w:val="22"/>
          <w:szCs w:val="22"/>
        </w:rPr>
        <w:t>COE | ‘</w:t>
      </w:r>
      <w:r w:rsidRPr="00CB2E83">
        <w:rPr>
          <w:rFonts w:ascii="Times New Roman" w:hAnsi="Times New Roman" w:cs="Times New Roman"/>
          <w:bCs/>
          <w:color w:val="000000" w:themeColor="text1"/>
          <w:sz w:val="22"/>
          <w:szCs w:val="22"/>
          <w:shd w:val="clear" w:color="auto" w:fill="FFFFFF"/>
        </w:rPr>
        <w:t>Framework Decision on combating certain forms and expressions of racism and xenophobia by means of criminal law’ (</w:t>
      </w:r>
      <w:r w:rsidRPr="00CB2E83">
        <w:rPr>
          <w:rFonts w:ascii="Times New Roman" w:hAnsi="Times New Roman" w:cs="Times New Roman"/>
          <w:bCs/>
          <w:color w:val="444444"/>
          <w:sz w:val="22"/>
          <w:szCs w:val="22"/>
          <w:shd w:val="clear" w:color="auto" w:fill="FFFFFF"/>
        </w:rPr>
        <w:t>15</w:t>
      </w:r>
      <w:r w:rsidRPr="00CB2E83">
        <w:rPr>
          <w:rFonts w:ascii="Times New Roman" w:hAnsi="Times New Roman" w:cs="Times New Roman"/>
          <w:bCs/>
          <w:color w:val="444444"/>
          <w:sz w:val="22"/>
          <w:szCs w:val="22"/>
          <w:shd w:val="clear" w:color="auto" w:fill="FFFFFF"/>
          <w:vertAlign w:val="superscript"/>
        </w:rPr>
        <w:t>th</w:t>
      </w:r>
      <w:r w:rsidRPr="00CB2E83">
        <w:rPr>
          <w:rFonts w:ascii="Times New Roman" w:hAnsi="Times New Roman" w:cs="Times New Roman"/>
          <w:bCs/>
          <w:color w:val="444444"/>
          <w:sz w:val="22"/>
          <w:szCs w:val="22"/>
          <w:shd w:val="clear" w:color="auto" w:fill="FFFFFF"/>
        </w:rPr>
        <w:t xml:space="preserve"> June 2014) &lt;</w:t>
      </w:r>
      <w:hyperlink r:id="rId9" w:history="1">
        <w:r w:rsidRPr="00CB2E83">
          <w:rPr>
            <w:rStyle w:val="Hyperlink"/>
            <w:rFonts w:ascii="Times New Roman" w:hAnsi="Times New Roman" w:cs="Times New Roman"/>
            <w:sz w:val="22"/>
            <w:szCs w:val="22"/>
          </w:rPr>
          <w:t>EUR-Lex - l33178 - EN - EUR-Lex (europa.eu)</w:t>
        </w:r>
      </w:hyperlink>
      <w:r w:rsidRPr="00CB2E83">
        <w:rPr>
          <w:rFonts w:ascii="Times New Roman" w:hAnsi="Times New Roman" w:cs="Times New Roman"/>
          <w:sz w:val="22"/>
          <w:szCs w:val="22"/>
        </w:rPr>
        <w:t>&gt; accessed 25</w:t>
      </w:r>
      <w:r w:rsidRPr="00CB2E83">
        <w:rPr>
          <w:rFonts w:ascii="Times New Roman" w:hAnsi="Times New Roman" w:cs="Times New Roman"/>
          <w:sz w:val="22"/>
          <w:szCs w:val="22"/>
          <w:vertAlign w:val="superscript"/>
        </w:rPr>
        <w:t>th</w:t>
      </w:r>
      <w:r w:rsidRPr="00CB2E83">
        <w:rPr>
          <w:rFonts w:ascii="Times New Roman" w:hAnsi="Times New Roman" w:cs="Times New Roman"/>
          <w:sz w:val="22"/>
          <w:szCs w:val="22"/>
        </w:rPr>
        <w:t xml:space="preserve"> June 2023</w:t>
      </w:r>
    </w:p>
    <w:p w14:paraId="261C3961" w14:textId="77777777" w:rsidR="00385F6E" w:rsidRPr="00CB2E83" w:rsidRDefault="00385F6E" w:rsidP="00385F6E">
      <w:pPr>
        <w:pStyle w:val="FootnoteText"/>
        <w:rPr>
          <w:rFonts w:ascii="Times New Roman" w:hAnsi="Times New Roman" w:cs="Times New Roman"/>
          <w:sz w:val="22"/>
          <w:szCs w:val="22"/>
        </w:rPr>
      </w:pPr>
      <w:r w:rsidRPr="00CB2E83">
        <w:rPr>
          <w:rFonts w:ascii="Times New Roman" w:hAnsi="Times New Roman" w:cs="Times New Roman"/>
          <w:sz w:val="22"/>
          <w:szCs w:val="22"/>
        </w:rPr>
        <w:t>Editorial | ‘The Observer view on the right to free expression’ (The Guardian) (27</w:t>
      </w:r>
      <w:r w:rsidRPr="00CB2E83">
        <w:rPr>
          <w:rFonts w:ascii="Times New Roman" w:hAnsi="Times New Roman" w:cs="Times New Roman"/>
          <w:sz w:val="22"/>
          <w:szCs w:val="22"/>
          <w:vertAlign w:val="superscript"/>
        </w:rPr>
        <w:t>th</w:t>
      </w:r>
      <w:r w:rsidRPr="00CB2E83">
        <w:rPr>
          <w:rFonts w:ascii="Times New Roman" w:hAnsi="Times New Roman" w:cs="Times New Roman"/>
          <w:sz w:val="22"/>
          <w:szCs w:val="22"/>
        </w:rPr>
        <w:t xml:space="preserve"> June 2021) &lt; </w:t>
      </w:r>
      <w:hyperlink r:id="rId10" w:history="1">
        <w:r w:rsidRPr="00CB2E83">
          <w:rPr>
            <w:rStyle w:val="Hyperlink"/>
            <w:rFonts w:ascii="Times New Roman" w:hAnsi="Times New Roman" w:cs="Times New Roman"/>
            <w:sz w:val="22"/>
            <w:szCs w:val="22"/>
          </w:rPr>
          <w:t>The Observer view on the right to free expression | Observer editorial | The Guardian</w:t>
        </w:r>
      </w:hyperlink>
      <w:r w:rsidRPr="00CB2E83">
        <w:rPr>
          <w:rFonts w:ascii="Times New Roman" w:hAnsi="Times New Roman" w:cs="Times New Roman"/>
          <w:sz w:val="22"/>
          <w:szCs w:val="22"/>
        </w:rPr>
        <w:t>&gt; accessed 9</w:t>
      </w:r>
      <w:r w:rsidRPr="00CB2E83">
        <w:rPr>
          <w:rFonts w:ascii="Times New Roman" w:hAnsi="Times New Roman" w:cs="Times New Roman"/>
          <w:sz w:val="22"/>
          <w:szCs w:val="22"/>
          <w:vertAlign w:val="superscript"/>
        </w:rPr>
        <w:t>th</w:t>
      </w:r>
      <w:r w:rsidRPr="00CB2E83">
        <w:rPr>
          <w:rFonts w:ascii="Times New Roman" w:hAnsi="Times New Roman" w:cs="Times New Roman"/>
          <w:sz w:val="22"/>
          <w:szCs w:val="22"/>
        </w:rPr>
        <w:t xml:space="preserve"> November 2023</w:t>
      </w:r>
    </w:p>
    <w:p w14:paraId="23D2165B" w14:textId="77777777" w:rsidR="00385F6E" w:rsidRPr="00CB2E83" w:rsidRDefault="00385F6E" w:rsidP="00385F6E">
      <w:pPr>
        <w:pStyle w:val="FootnoteText"/>
        <w:rPr>
          <w:rFonts w:ascii="Times New Roman" w:hAnsi="Times New Roman" w:cs="Times New Roman"/>
          <w:sz w:val="22"/>
          <w:szCs w:val="22"/>
        </w:rPr>
      </w:pPr>
      <w:r w:rsidRPr="00CB2E83">
        <w:rPr>
          <w:rFonts w:ascii="Times New Roman" w:hAnsi="Times New Roman" w:cs="Times New Roman"/>
          <w:sz w:val="22"/>
          <w:szCs w:val="22"/>
        </w:rPr>
        <w:t>J Parker, and E Lawrie | ‘Stonewall boss defends new strategy amid criticism’ (BBC) (29</w:t>
      </w:r>
      <w:r w:rsidRPr="00CB2E83">
        <w:rPr>
          <w:rFonts w:ascii="Times New Roman" w:hAnsi="Times New Roman" w:cs="Times New Roman"/>
          <w:sz w:val="22"/>
          <w:szCs w:val="22"/>
          <w:vertAlign w:val="superscript"/>
        </w:rPr>
        <w:t>th</w:t>
      </w:r>
      <w:r w:rsidRPr="00CB2E83">
        <w:rPr>
          <w:rFonts w:ascii="Times New Roman" w:hAnsi="Times New Roman" w:cs="Times New Roman"/>
          <w:sz w:val="22"/>
          <w:szCs w:val="22"/>
        </w:rPr>
        <w:t xml:space="preserve"> May 2021) &lt;</w:t>
      </w:r>
      <w:hyperlink r:id="rId11" w:history="1">
        <w:r w:rsidRPr="00CB2E83">
          <w:rPr>
            <w:rStyle w:val="Hyperlink"/>
            <w:rFonts w:ascii="Times New Roman" w:hAnsi="Times New Roman" w:cs="Times New Roman"/>
            <w:sz w:val="22"/>
            <w:szCs w:val="22"/>
          </w:rPr>
          <w:t>Stonewall boss defends new strategy amid criticism - BBC News</w:t>
        </w:r>
      </w:hyperlink>
      <w:r w:rsidRPr="00CB2E83">
        <w:rPr>
          <w:rFonts w:ascii="Times New Roman" w:hAnsi="Times New Roman" w:cs="Times New Roman"/>
          <w:sz w:val="22"/>
          <w:szCs w:val="22"/>
        </w:rPr>
        <w:t>&gt; accessed 9</w:t>
      </w:r>
      <w:r w:rsidRPr="00CB2E83">
        <w:rPr>
          <w:rFonts w:ascii="Times New Roman" w:hAnsi="Times New Roman" w:cs="Times New Roman"/>
          <w:sz w:val="22"/>
          <w:szCs w:val="22"/>
          <w:vertAlign w:val="superscript"/>
        </w:rPr>
        <w:t>th</w:t>
      </w:r>
      <w:r w:rsidRPr="00CB2E83">
        <w:rPr>
          <w:rFonts w:ascii="Times New Roman" w:hAnsi="Times New Roman" w:cs="Times New Roman"/>
          <w:sz w:val="22"/>
          <w:szCs w:val="22"/>
        </w:rPr>
        <w:t xml:space="preserve"> November 2023</w:t>
      </w:r>
    </w:p>
    <w:p w14:paraId="4DB06BE9" w14:textId="77777777" w:rsidR="00385F6E" w:rsidRPr="00CB2E83" w:rsidRDefault="00385F6E" w:rsidP="00385F6E">
      <w:pPr>
        <w:pStyle w:val="FootnoteText"/>
        <w:rPr>
          <w:rFonts w:ascii="Times New Roman" w:hAnsi="Times New Roman" w:cs="Times New Roman"/>
          <w:sz w:val="22"/>
          <w:szCs w:val="22"/>
        </w:rPr>
      </w:pPr>
      <w:r w:rsidRPr="00CB2E83">
        <w:rPr>
          <w:rFonts w:ascii="Times New Roman" w:hAnsi="Times New Roman" w:cs="Times New Roman"/>
          <w:sz w:val="22"/>
          <w:szCs w:val="22"/>
        </w:rPr>
        <w:t>JS Mills, ‘On Liberty – Dover Thrift Edition’ (1</w:t>
      </w:r>
      <w:r w:rsidRPr="00CB2E83">
        <w:rPr>
          <w:rFonts w:ascii="Times New Roman" w:hAnsi="Times New Roman" w:cs="Times New Roman"/>
          <w:sz w:val="22"/>
          <w:szCs w:val="22"/>
          <w:vertAlign w:val="superscript"/>
        </w:rPr>
        <w:t>st</w:t>
      </w:r>
      <w:r w:rsidRPr="00CB2E83">
        <w:rPr>
          <w:rFonts w:ascii="Times New Roman" w:hAnsi="Times New Roman" w:cs="Times New Roman"/>
          <w:sz w:val="22"/>
          <w:szCs w:val="22"/>
        </w:rPr>
        <w:t xml:space="preserve"> </w:t>
      </w:r>
      <w:proofErr w:type="spellStart"/>
      <w:r w:rsidRPr="00CB2E83">
        <w:rPr>
          <w:rFonts w:ascii="Times New Roman" w:hAnsi="Times New Roman" w:cs="Times New Roman"/>
          <w:sz w:val="22"/>
          <w:szCs w:val="22"/>
        </w:rPr>
        <w:t>edn</w:t>
      </w:r>
      <w:proofErr w:type="spellEnd"/>
      <w:r w:rsidRPr="00CB2E83">
        <w:rPr>
          <w:rFonts w:ascii="Times New Roman" w:hAnsi="Times New Roman" w:cs="Times New Roman"/>
          <w:sz w:val="22"/>
          <w:szCs w:val="22"/>
        </w:rPr>
        <w:t>, Dover Publications 2002)</w:t>
      </w:r>
    </w:p>
    <w:p w14:paraId="0428B518" w14:textId="77777777" w:rsidR="00385F6E" w:rsidRPr="00CB2E83" w:rsidRDefault="00385F6E" w:rsidP="00385F6E">
      <w:pPr>
        <w:pStyle w:val="FootnoteText"/>
        <w:rPr>
          <w:rFonts w:ascii="Times New Roman" w:hAnsi="Times New Roman" w:cs="Times New Roman"/>
          <w:sz w:val="22"/>
          <w:szCs w:val="22"/>
        </w:rPr>
      </w:pPr>
      <w:r w:rsidRPr="00CB2E83">
        <w:rPr>
          <w:rFonts w:ascii="Times New Roman" w:hAnsi="Times New Roman" w:cs="Times New Roman"/>
          <w:sz w:val="22"/>
          <w:szCs w:val="22"/>
        </w:rPr>
        <w:t xml:space="preserve">M Evans, </w:t>
      </w:r>
      <w:r w:rsidRPr="00CB2E83">
        <w:rPr>
          <w:rFonts w:ascii="Times New Roman" w:hAnsi="Times New Roman" w:cs="Times New Roman"/>
          <w:i/>
          <w:iCs/>
          <w:sz w:val="22"/>
          <w:szCs w:val="22"/>
        </w:rPr>
        <w:t>International Law</w:t>
      </w:r>
      <w:r w:rsidRPr="00CB2E83">
        <w:rPr>
          <w:rFonts w:ascii="Times New Roman" w:hAnsi="Times New Roman" w:cs="Times New Roman"/>
          <w:sz w:val="22"/>
          <w:szCs w:val="22"/>
        </w:rPr>
        <w:t xml:space="preserve"> (5</w:t>
      </w:r>
      <w:r w:rsidRPr="00CB2E83">
        <w:rPr>
          <w:rFonts w:ascii="Times New Roman" w:hAnsi="Times New Roman" w:cs="Times New Roman"/>
          <w:sz w:val="22"/>
          <w:szCs w:val="22"/>
          <w:vertAlign w:val="superscript"/>
        </w:rPr>
        <w:t>th</w:t>
      </w:r>
      <w:r w:rsidRPr="00CB2E83">
        <w:rPr>
          <w:rFonts w:ascii="Times New Roman" w:hAnsi="Times New Roman" w:cs="Times New Roman"/>
          <w:sz w:val="22"/>
          <w:szCs w:val="22"/>
        </w:rPr>
        <w:t xml:space="preserve"> </w:t>
      </w:r>
      <w:proofErr w:type="spellStart"/>
      <w:r w:rsidRPr="00CB2E83">
        <w:rPr>
          <w:rFonts w:ascii="Times New Roman" w:hAnsi="Times New Roman" w:cs="Times New Roman"/>
          <w:sz w:val="22"/>
          <w:szCs w:val="22"/>
        </w:rPr>
        <w:t>Edn</w:t>
      </w:r>
      <w:proofErr w:type="spellEnd"/>
      <w:r w:rsidRPr="00CB2E83">
        <w:rPr>
          <w:rFonts w:ascii="Times New Roman" w:hAnsi="Times New Roman" w:cs="Times New Roman"/>
          <w:sz w:val="22"/>
          <w:szCs w:val="22"/>
        </w:rPr>
        <w:t>, OUP 2018)</w:t>
      </w:r>
    </w:p>
    <w:p w14:paraId="28B81F54" w14:textId="77777777" w:rsidR="00385F6E" w:rsidRPr="00CB2E83" w:rsidRDefault="00385F6E" w:rsidP="00385F6E">
      <w:pPr>
        <w:pStyle w:val="FootnoteText"/>
        <w:rPr>
          <w:rFonts w:ascii="Times New Roman" w:hAnsi="Times New Roman" w:cs="Times New Roman"/>
          <w:sz w:val="22"/>
          <w:szCs w:val="22"/>
        </w:rPr>
      </w:pPr>
      <w:r w:rsidRPr="00CB2E83">
        <w:rPr>
          <w:rFonts w:ascii="Times New Roman" w:hAnsi="Times New Roman" w:cs="Times New Roman"/>
          <w:sz w:val="22"/>
          <w:szCs w:val="22"/>
        </w:rPr>
        <w:t>News | ‘University of Essex apologises to professor over trans-rights cancellation’ (BBC) (19</w:t>
      </w:r>
      <w:r w:rsidRPr="00CB2E83">
        <w:rPr>
          <w:rFonts w:ascii="Times New Roman" w:hAnsi="Times New Roman" w:cs="Times New Roman"/>
          <w:sz w:val="22"/>
          <w:szCs w:val="22"/>
          <w:vertAlign w:val="superscript"/>
        </w:rPr>
        <w:t>th</w:t>
      </w:r>
      <w:r w:rsidRPr="00CB2E83">
        <w:rPr>
          <w:rFonts w:ascii="Times New Roman" w:hAnsi="Times New Roman" w:cs="Times New Roman"/>
          <w:sz w:val="22"/>
          <w:szCs w:val="22"/>
        </w:rPr>
        <w:t xml:space="preserve"> May 2021) &lt;</w:t>
      </w:r>
      <w:hyperlink r:id="rId12" w:history="1">
        <w:r w:rsidRPr="00CB2E83">
          <w:rPr>
            <w:rStyle w:val="Hyperlink"/>
            <w:rFonts w:ascii="Times New Roman" w:hAnsi="Times New Roman" w:cs="Times New Roman"/>
            <w:sz w:val="22"/>
            <w:szCs w:val="22"/>
          </w:rPr>
          <w:t>University of Essex apologises to professor over trans-rights cancellation - BBC News</w:t>
        </w:r>
      </w:hyperlink>
      <w:r w:rsidRPr="00CB2E83">
        <w:rPr>
          <w:rFonts w:ascii="Times New Roman" w:hAnsi="Times New Roman" w:cs="Times New Roman"/>
          <w:sz w:val="22"/>
          <w:szCs w:val="22"/>
        </w:rPr>
        <w:t>&gt; accessed 10</w:t>
      </w:r>
      <w:r w:rsidRPr="00CB2E83">
        <w:rPr>
          <w:rFonts w:ascii="Times New Roman" w:hAnsi="Times New Roman" w:cs="Times New Roman"/>
          <w:sz w:val="22"/>
          <w:szCs w:val="22"/>
          <w:vertAlign w:val="superscript"/>
        </w:rPr>
        <w:t>th</w:t>
      </w:r>
      <w:r w:rsidRPr="00CB2E83">
        <w:rPr>
          <w:rFonts w:ascii="Times New Roman" w:hAnsi="Times New Roman" w:cs="Times New Roman"/>
          <w:sz w:val="22"/>
          <w:szCs w:val="22"/>
        </w:rPr>
        <w:t xml:space="preserve"> November 2023</w:t>
      </w:r>
    </w:p>
    <w:p w14:paraId="3A96A98A" w14:textId="77777777" w:rsidR="00385F6E" w:rsidRPr="00CB2E83" w:rsidRDefault="00385F6E" w:rsidP="00385F6E">
      <w:pPr>
        <w:pStyle w:val="FootnoteText"/>
        <w:rPr>
          <w:rFonts w:ascii="Times New Roman" w:hAnsi="Times New Roman" w:cs="Times New Roman"/>
          <w:sz w:val="22"/>
          <w:szCs w:val="22"/>
        </w:rPr>
      </w:pPr>
      <w:proofErr w:type="spellStart"/>
      <w:r w:rsidRPr="00CB2E83">
        <w:rPr>
          <w:rFonts w:ascii="Times New Roman" w:hAnsi="Times New Roman" w:cs="Times New Roman"/>
          <w:sz w:val="22"/>
          <w:szCs w:val="22"/>
        </w:rPr>
        <w:t>V.</w:t>
      </w:r>
      <w:proofErr w:type="gramStart"/>
      <w:r w:rsidRPr="00CB2E83">
        <w:rPr>
          <w:rFonts w:ascii="Times New Roman" w:hAnsi="Times New Roman" w:cs="Times New Roman"/>
          <w:sz w:val="22"/>
          <w:szCs w:val="22"/>
        </w:rPr>
        <w:t>A.Blasi</w:t>
      </w:r>
      <w:proofErr w:type="spellEnd"/>
      <w:proofErr w:type="gramEnd"/>
      <w:r w:rsidRPr="00CB2E83">
        <w:rPr>
          <w:rFonts w:ascii="Times New Roman" w:hAnsi="Times New Roman" w:cs="Times New Roman"/>
          <w:sz w:val="22"/>
          <w:szCs w:val="22"/>
        </w:rPr>
        <w:t xml:space="preserve">, ‘A Reader’s Guide to John Milton’s </w:t>
      </w:r>
      <w:proofErr w:type="spellStart"/>
      <w:r w:rsidRPr="00CB2E83">
        <w:rPr>
          <w:rFonts w:ascii="Times New Roman" w:hAnsi="Times New Roman" w:cs="Times New Roman"/>
          <w:sz w:val="22"/>
          <w:szCs w:val="22"/>
        </w:rPr>
        <w:t>Areopagitica</w:t>
      </w:r>
      <w:proofErr w:type="spellEnd"/>
      <w:r w:rsidRPr="00CB2E83">
        <w:rPr>
          <w:rFonts w:ascii="Times New Roman" w:hAnsi="Times New Roman" w:cs="Times New Roman"/>
          <w:sz w:val="22"/>
          <w:szCs w:val="22"/>
        </w:rPr>
        <w:t>, the Foundational Essay of the First Amendment Tradition’ (2018) SUP. CT. REV. 273</w:t>
      </w:r>
    </w:p>
    <w:p w14:paraId="40F2ECAC" w14:textId="77777777" w:rsidR="00385F6E" w:rsidRPr="00CB2E83" w:rsidRDefault="00385F6E" w:rsidP="00385F6E">
      <w:pPr>
        <w:pStyle w:val="FootnoteText"/>
        <w:rPr>
          <w:rFonts w:ascii="Times New Roman" w:hAnsi="Times New Roman" w:cs="Times New Roman"/>
          <w:b/>
          <w:bCs/>
          <w:color w:val="242424"/>
          <w:sz w:val="22"/>
          <w:szCs w:val="22"/>
          <w:bdr w:val="none" w:sz="0" w:space="0" w:color="auto" w:frame="1"/>
        </w:rPr>
      </w:pPr>
      <w:r w:rsidRPr="00CB2E83">
        <w:rPr>
          <w:rFonts w:ascii="Times New Roman" w:hAnsi="Times New Roman" w:cs="Times New Roman"/>
          <w:sz w:val="22"/>
          <w:szCs w:val="22"/>
        </w:rPr>
        <w:t xml:space="preserve">Z </w:t>
      </w:r>
      <w:proofErr w:type="spellStart"/>
      <w:r w:rsidRPr="00CB2E83">
        <w:rPr>
          <w:rFonts w:ascii="Times New Roman" w:hAnsi="Times New Roman" w:cs="Times New Roman"/>
          <w:sz w:val="22"/>
          <w:szCs w:val="22"/>
        </w:rPr>
        <w:t>Laub</w:t>
      </w:r>
      <w:proofErr w:type="spellEnd"/>
      <w:r w:rsidRPr="00CB2E83">
        <w:rPr>
          <w:rFonts w:ascii="Times New Roman" w:hAnsi="Times New Roman" w:cs="Times New Roman"/>
          <w:sz w:val="22"/>
          <w:szCs w:val="22"/>
        </w:rPr>
        <w:t xml:space="preserve"> | ‘Hate Speech on Social Media: Global Comparisons’ (7</w:t>
      </w:r>
      <w:r w:rsidRPr="00CB2E83">
        <w:rPr>
          <w:rFonts w:ascii="Times New Roman" w:hAnsi="Times New Roman" w:cs="Times New Roman"/>
          <w:sz w:val="22"/>
          <w:szCs w:val="22"/>
          <w:vertAlign w:val="superscript"/>
        </w:rPr>
        <w:t>th</w:t>
      </w:r>
      <w:r w:rsidRPr="00CB2E83">
        <w:rPr>
          <w:rFonts w:ascii="Times New Roman" w:hAnsi="Times New Roman" w:cs="Times New Roman"/>
          <w:sz w:val="22"/>
          <w:szCs w:val="22"/>
        </w:rPr>
        <w:t xml:space="preserve"> June 2019)  &lt;</w:t>
      </w:r>
      <w:hyperlink r:id="rId13" w:anchor=":~:text=As%20more%20and%20more%20people%20have%20moved%20online%2C,violent%20actors%20the%20opportunity%20to%20publicize%20their%20acts." w:history="1">
        <w:r w:rsidRPr="00CB2E83">
          <w:rPr>
            <w:rStyle w:val="Hyperlink"/>
            <w:rFonts w:ascii="Times New Roman" w:hAnsi="Times New Roman" w:cs="Times New Roman"/>
            <w:sz w:val="22"/>
            <w:szCs w:val="22"/>
          </w:rPr>
          <w:t>Hate Speech on Social Media: Global Comparisons | Council on Foreign Relations (cfr.org)</w:t>
        </w:r>
      </w:hyperlink>
      <w:r w:rsidRPr="00CB2E83">
        <w:rPr>
          <w:rFonts w:ascii="Times New Roman" w:hAnsi="Times New Roman" w:cs="Times New Roman"/>
          <w:sz w:val="22"/>
          <w:szCs w:val="22"/>
        </w:rPr>
        <w:t>&gt; accessed 25</w:t>
      </w:r>
      <w:r w:rsidRPr="00CB2E83">
        <w:rPr>
          <w:rFonts w:ascii="Times New Roman" w:hAnsi="Times New Roman" w:cs="Times New Roman"/>
          <w:sz w:val="22"/>
          <w:szCs w:val="22"/>
          <w:vertAlign w:val="superscript"/>
        </w:rPr>
        <w:t>th</w:t>
      </w:r>
      <w:r w:rsidRPr="00CB2E83">
        <w:rPr>
          <w:rFonts w:ascii="Times New Roman" w:hAnsi="Times New Roman" w:cs="Times New Roman"/>
          <w:sz w:val="22"/>
          <w:szCs w:val="22"/>
        </w:rPr>
        <w:t xml:space="preserve"> February 2023</w:t>
      </w:r>
    </w:p>
    <w:p w14:paraId="426E5EA5" w14:textId="77777777" w:rsidR="00385F6E" w:rsidRPr="00CB2E83" w:rsidRDefault="00385F6E" w:rsidP="00385F6E">
      <w:pPr>
        <w:jc w:val="both"/>
        <w:rPr>
          <w:rFonts w:ascii="Times New Roman" w:eastAsia="Arial" w:hAnsi="Times New Roman" w:cs="Times New Roman"/>
          <w:b/>
          <w:sz w:val="32"/>
        </w:rPr>
      </w:pPr>
    </w:p>
    <w:p w14:paraId="79C225D5" w14:textId="79EC4B9D" w:rsidR="00921173" w:rsidRPr="00385F6E" w:rsidRDefault="00921173">
      <w:pPr>
        <w:rPr>
          <w:rFonts w:ascii="Arial" w:eastAsia="Arial" w:hAnsi="Arial" w:cs="Arial"/>
          <w:b/>
          <w:sz w:val="32"/>
        </w:rPr>
      </w:pPr>
    </w:p>
    <w:sectPr w:rsidR="00921173" w:rsidRPr="00385F6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57410" w14:textId="77777777" w:rsidR="00385F6E" w:rsidRDefault="00385F6E" w:rsidP="00385F6E">
      <w:pPr>
        <w:spacing w:after="0" w:line="240" w:lineRule="auto"/>
      </w:pPr>
      <w:r>
        <w:separator/>
      </w:r>
    </w:p>
  </w:endnote>
  <w:endnote w:type="continuationSeparator" w:id="0">
    <w:p w14:paraId="6CC65825" w14:textId="77777777" w:rsidR="00385F6E" w:rsidRDefault="00385F6E" w:rsidP="00385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E7B56" w14:textId="77777777" w:rsidR="00385F6E" w:rsidRDefault="00385F6E" w:rsidP="00385F6E">
      <w:pPr>
        <w:spacing w:after="0" w:line="240" w:lineRule="auto"/>
      </w:pPr>
      <w:r>
        <w:separator/>
      </w:r>
    </w:p>
  </w:footnote>
  <w:footnote w:type="continuationSeparator" w:id="0">
    <w:p w14:paraId="570CE1F6" w14:textId="77777777" w:rsidR="00385F6E" w:rsidRDefault="00385F6E" w:rsidP="00385F6E">
      <w:pPr>
        <w:spacing w:after="0" w:line="240" w:lineRule="auto"/>
      </w:pPr>
      <w:r>
        <w:continuationSeparator/>
      </w:r>
    </w:p>
  </w:footnote>
  <w:footnote w:id="1">
    <w:p w14:paraId="541823A7" w14:textId="77777777" w:rsidR="00385F6E" w:rsidRPr="00CB2E83" w:rsidRDefault="00385F6E" w:rsidP="00385F6E">
      <w:pPr>
        <w:pStyle w:val="FootnoteText"/>
        <w:rPr>
          <w:rFonts w:ascii="Times New Roman" w:hAnsi="Times New Roman" w:cs="Times New Roman"/>
          <w:sz w:val="16"/>
          <w:szCs w:val="16"/>
        </w:rPr>
      </w:pPr>
      <w:r w:rsidRPr="00CB2E83">
        <w:rPr>
          <w:rStyle w:val="FootnoteReference"/>
          <w:rFonts w:ascii="Times New Roman" w:hAnsi="Times New Roman" w:cs="Times New Roman"/>
          <w:sz w:val="16"/>
          <w:szCs w:val="16"/>
        </w:rPr>
        <w:footnoteRef/>
      </w:r>
      <w:r w:rsidRPr="00CB2E83">
        <w:rPr>
          <w:rFonts w:ascii="Times New Roman" w:hAnsi="Times New Roman" w:cs="Times New Roman"/>
          <w:sz w:val="16"/>
          <w:szCs w:val="16"/>
        </w:rPr>
        <w:t xml:space="preserve"> Editorial | ‘The Observer view on the right to free expression’ (The Guardian) (27</w:t>
      </w:r>
      <w:r w:rsidRPr="00CB2E83">
        <w:rPr>
          <w:rFonts w:ascii="Times New Roman" w:hAnsi="Times New Roman" w:cs="Times New Roman"/>
          <w:sz w:val="16"/>
          <w:szCs w:val="16"/>
          <w:vertAlign w:val="superscript"/>
        </w:rPr>
        <w:t>th</w:t>
      </w:r>
      <w:r w:rsidRPr="00CB2E83">
        <w:rPr>
          <w:rFonts w:ascii="Times New Roman" w:hAnsi="Times New Roman" w:cs="Times New Roman"/>
          <w:sz w:val="16"/>
          <w:szCs w:val="16"/>
        </w:rPr>
        <w:t xml:space="preserve"> June 2021) &lt; </w:t>
      </w:r>
      <w:hyperlink r:id="rId1" w:history="1">
        <w:r w:rsidRPr="00CB2E83">
          <w:rPr>
            <w:rStyle w:val="Hyperlink"/>
            <w:rFonts w:ascii="Times New Roman" w:hAnsi="Times New Roman" w:cs="Times New Roman"/>
            <w:sz w:val="16"/>
            <w:szCs w:val="16"/>
          </w:rPr>
          <w:t>The Observer view on the right to free expression | Observer editorial | The Guardian</w:t>
        </w:r>
      </w:hyperlink>
      <w:r w:rsidRPr="00CB2E83">
        <w:rPr>
          <w:rFonts w:ascii="Times New Roman" w:hAnsi="Times New Roman" w:cs="Times New Roman"/>
          <w:sz w:val="16"/>
          <w:szCs w:val="16"/>
        </w:rPr>
        <w:t>&gt; accessed 9</w:t>
      </w:r>
      <w:r w:rsidRPr="00CB2E83">
        <w:rPr>
          <w:rFonts w:ascii="Times New Roman" w:hAnsi="Times New Roman" w:cs="Times New Roman"/>
          <w:sz w:val="16"/>
          <w:szCs w:val="16"/>
          <w:vertAlign w:val="superscript"/>
        </w:rPr>
        <w:t>th</w:t>
      </w:r>
      <w:r w:rsidRPr="00CB2E83">
        <w:rPr>
          <w:rFonts w:ascii="Times New Roman" w:hAnsi="Times New Roman" w:cs="Times New Roman"/>
          <w:sz w:val="16"/>
          <w:szCs w:val="16"/>
        </w:rPr>
        <w:t xml:space="preserve"> November 2023. </w:t>
      </w:r>
    </w:p>
  </w:footnote>
  <w:footnote w:id="2">
    <w:p w14:paraId="3D1C9782" w14:textId="77777777" w:rsidR="00385F6E" w:rsidRPr="00CB2E83" w:rsidRDefault="00385F6E" w:rsidP="00385F6E">
      <w:pPr>
        <w:pStyle w:val="FootnoteText"/>
        <w:rPr>
          <w:rFonts w:ascii="Times New Roman" w:hAnsi="Times New Roman" w:cs="Times New Roman"/>
          <w:sz w:val="16"/>
          <w:szCs w:val="16"/>
        </w:rPr>
      </w:pPr>
      <w:r w:rsidRPr="00CB2E83">
        <w:rPr>
          <w:rStyle w:val="FootnoteReference"/>
          <w:rFonts w:ascii="Times New Roman" w:hAnsi="Times New Roman" w:cs="Times New Roman"/>
          <w:sz w:val="16"/>
          <w:szCs w:val="16"/>
        </w:rPr>
        <w:footnoteRef/>
      </w:r>
      <w:r w:rsidRPr="00CB2E83">
        <w:rPr>
          <w:rFonts w:ascii="Times New Roman" w:hAnsi="Times New Roman" w:cs="Times New Roman"/>
          <w:sz w:val="16"/>
          <w:szCs w:val="16"/>
        </w:rPr>
        <w:t xml:space="preserve"> </w:t>
      </w:r>
      <w:r w:rsidRPr="00CB2E83">
        <w:rPr>
          <w:rFonts w:ascii="Times New Roman" w:hAnsi="Times New Roman" w:cs="Times New Roman"/>
          <w:i/>
          <w:iCs/>
          <w:sz w:val="16"/>
          <w:szCs w:val="16"/>
        </w:rPr>
        <w:t xml:space="preserve">Maya </w:t>
      </w:r>
      <w:proofErr w:type="spellStart"/>
      <w:r w:rsidRPr="00CB2E83">
        <w:rPr>
          <w:rFonts w:ascii="Times New Roman" w:hAnsi="Times New Roman" w:cs="Times New Roman"/>
          <w:i/>
          <w:iCs/>
          <w:sz w:val="16"/>
          <w:szCs w:val="16"/>
        </w:rPr>
        <w:t>Firstater</w:t>
      </w:r>
      <w:proofErr w:type="spellEnd"/>
      <w:r w:rsidRPr="00CB2E83">
        <w:rPr>
          <w:rFonts w:ascii="Times New Roman" w:hAnsi="Times New Roman" w:cs="Times New Roman"/>
          <w:i/>
          <w:iCs/>
          <w:sz w:val="16"/>
          <w:szCs w:val="16"/>
        </w:rPr>
        <w:t xml:space="preserve"> v CGD Europe, </w:t>
      </w:r>
      <w:proofErr w:type="spellStart"/>
      <w:r w:rsidRPr="00CB2E83">
        <w:rPr>
          <w:rFonts w:ascii="Times New Roman" w:hAnsi="Times New Roman" w:cs="Times New Roman"/>
          <w:i/>
          <w:iCs/>
          <w:sz w:val="16"/>
          <w:szCs w:val="16"/>
        </w:rPr>
        <w:t>Center</w:t>
      </w:r>
      <w:proofErr w:type="spellEnd"/>
      <w:r w:rsidRPr="00CB2E83">
        <w:rPr>
          <w:rFonts w:ascii="Times New Roman" w:hAnsi="Times New Roman" w:cs="Times New Roman"/>
          <w:i/>
          <w:iCs/>
          <w:sz w:val="16"/>
          <w:szCs w:val="16"/>
        </w:rPr>
        <w:t xml:space="preserve"> for Global Development</w:t>
      </w:r>
      <w:r w:rsidRPr="00CB2E83">
        <w:rPr>
          <w:rFonts w:ascii="Times New Roman" w:hAnsi="Times New Roman" w:cs="Times New Roman"/>
          <w:sz w:val="16"/>
          <w:szCs w:val="16"/>
        </w:rPr>
        <w:t xml:space="preserve"> [2021] UKEAT/0105/20/JOJ.</w:t>
      </w:r>
    </w:p>
  </w:footnote>
  <w:footnote w:id="3">
    <w:p w14:paraId="0CED27E7" w14:textId="77777777" w:rsidR="00385F6E" w:rsidRPr="00CB2E83" w:rsidRDefault="00385F6E" w:rsidP="00385F6E">
      <w:pPr>
        <w:pStyle w:val="FootnoteText"/>
        <w:rPr>
          <w:rFonts w:ascii="Times New Roman" w:hAnsi="Times New Roman" w:cs="Times New Roman"/>
          <w:sz w:val="16"/>
          <w:szCs w:val="16"/>
        </w:rPr>
      </w:pPr>
      <w:r w:rsidRPr="00CB2E83">
        <w:rPr>
          <w:rStyle w:val="FootnoteReference"/>
          <w:rFonts w:ascii="Times New Roman" w:hAnsi="Times New Roman" w:cs="Times New Roman"/>
          <w:sz w:val="16"/>
          <w:szCs w:val="16"/>
        </w:rPr>
        <w:footnoteRef/>
      </w:r>
      <w:r w:rsidRPr="00CB2E83">
        <w:rPr>
          <w:rFonts w:ascii="Times New Roman" w:hAnsi="Times New Roman" w:cs="Times New Roman"/>
          <w:sz w:val="16"/>
          <w:szCs w:val="16"/>
        </w:rPr>
        <w:t xml:space="preserve"> </w:t>
      </w:r>
      <w:r w:rsidRPr="00CB2E83">
        <w:rPr>
          <w:rFonts w:ascii="Times New Roman" w:hAnsi="Times New Roman" w:cs="Times New Roman"/>
          <w:i/>
          <w:color w:val="000000"/>
          <w:sz w:val="16"/>
          <w:szCs w:val="16"/>
        </w:rPr>
        <w:t>R (Harry Miller) v The College of Policing</w:t>
      </w:r>
      <w:r w:rsidRPr="00CB2E83">
        <w:rPr>
          <w:rFonts w:ascii="Times New Roman" w:hAnsi="Times New Roman" w:cs="Times New Roman"/>
          <w:color w:val="000000"/>
          <w:sz w:val="16"/>
          <w:szCs w:val="16"/>
        </w:rPr>
        <w:t xml:space="preserve"> [2021] EWCA </w:t>
      </w:r>
      <w:proofErr w:type="spellStart"/>
      <w:r w:rsidRPr="00CB2E83">
        <w:rPr>
          <w:rFonts w:ascii="Times New Roman" w:hAnsi="Times New Roman" w:cs="Times New Roman"/>
          <w:color w:val="000000"/>
          <w:sz w:val="16"/>
          <w:szCs w:val="16"/>
        </w:rPr>
        <w:t>Civ</w:t>
      </w:r>
      <w:proofErr w:type="spellEnd"/>
      <w:r w:rsidRPr="00CB2E83">
        <w:rPr>
          <w:rFonts w:ascii="Times New Roman" w:hAnsi="Times New Roman" w:cs="Times New Roman"/>
          <w:color w:val="000000"/>
          <w:sz w:val="16"/>
          <w:szCs w:val="16"/>
        </w:rPr>
        <w:t xml:space="preserve"> 1926.</w:t>
      </w:r>
    </w:p>
  </w:footnote>
  <w:footnote w:id="4">
    <w:p w14:paraId="01207BF3" w14:textId="77777777" w:rsidR="00385F6E" w:rsidRPr="00CB2E83" w:rsidRDefault="00385F6E" w:rsidP="00385F6E">
      <w:pPr>
        <w:pStyle w:val="FootnoteText"/>
        <w:rPr>
          <w:rFonts w:ascii="Times New Roman" w:hAnsi="Times New Roman" w:cs="Times New Roman"/>
          <w:sz w:val="16"/>
          <w:szCs w:val="16"/>
        </w:rPr>
      </w:pPr>
      <w:r w:rsidRPr="00CB2E83">
        <w:rPr>
          <w:rStyle w:val="FootnoteReference"/>
          <w:rFonts w:ascii="Times New Roman" w:hAnsi="Times New Roman" w:cs="Times New Roman"/>
          <w:sz w:val="16"/>
          <w:szCs w:val="16"/>
        </w:rPr>
        <w:footnoteRef/>
      </w:r>
      <w:r w:rsidRPr="00CB2E83">
        <w:rPr>
          <w:rFonts w:ascii="Times New Roman" w:hAnsi="Times New Roman" w:cs="Times New Roman"/>
          <w:sz w:val="16"/>
          <w:szCs w:val="16"/>
        </w:rPr>
        <w:t xml:space="preserve"> Gender Recognition Act 2004; The reform included removing the requirement for a medical practitioner to confirm a trans person has gender dysphoria and thus making the process easier for a trans person to gain legal status as the gender they identified. </w:t>
      </w:r>
    </w:p>
  </w:footnote>
  <w:footnote w:id="5">
    <w:p w14:paraId="563FC123" w14:textId="77777777" w:rsidR="00385F6E" w:rsidRPr="00CB2E83" w:rsidRDefault="00385F6E" w:rsidP="00385F6E">
      <w:pPr>
        <w:pStyle w:val="FootnoteText"/>
        <w:rPr>
          <w:rFonts w:ascii="Times New Roman" w:hAnsi="Times New Roman" w:cs="Times New Roman"/>
          <w:sz w:val="16"/>
          <w:szCs w:val="16"/>
        </w:rPr>
      </w:pPr>
      <w:r w:rsidRPr="00CB2E83">
        <w:rPr>
          <w:rStyle w:val="FootnoteReference"/>
          <w:rFonts w:ascii="Times New Roman" w:hAnsi="Times New Roman" w:cs="Times New Roman"/>
          <w:sz w:val="16"/>
          <w:szCs w:val="16"/>
        </w:rPr>
        <w:footnoteRef/>
      </w:r>
      <w:r w:rsidRPr="00CB2E83">
        <w:rPr>
          <w:rFonts w:ascii="Times New Roman" w:hAnsi="Times New Roman" w:cs="Times New Roman"/>
          <w:sz w:val="16"/>
          <w:szCs w:val="16"/>
        </w:rPr>
        <w:t xml:space="preserve"> Katherine </w:t>
      </w:r>
      <w:proofErr w:type="spellStart"/>
      <w:r w:rsidRPr="00CB2E83">
        <w:rPr>
          <w:rFonts w:ascii="Times New Roman" w:hAnsi="Times New Roman" w:cs="Times New Roman"/>
          <w:sz w:val="16"/>
          <w:szCs w:val="16"/>
        </w:rPr>
        <w:t>Elizabth</w:t>
      </w:r>
      <w:proofErr w:type="spellEnd"/>
      <w:r w:rsidRPr="00CB2E83">
        <w:rPr>
          <w:rFonts w:ascii="Times New Roman" w:hAnsi="Times New Roman" w:cs="Times New Roman"/>
          <w:sz w:val="16"/>
          <w:szCs w:val="16"/>
        </w:rPr>
        <w:t xml:space="preserve"> </w:t>
      </w:r>
      <w:proofErr w:type="spellStart"/>
      <w:r w:rsidRPr="00CB2E83">
        <w:rPr>
          <w:rFonts w:ascii="Times New Roman" w:hAnsi="Times New Roman" w:cs="Times New Roman"/>
          <w:sz w:val="16"/>
          <w:szCs w:val="16"/>
        </w:rPr>
        <w:t>Scottow</w:t>
      </w:r>
      <w:proofErr w:type="spellEnd"/>
      <w:r w:rsidRPr="00CB2E83">
        <w:rPr>
          <w:rFonts w:ascii="Times New Roman" w:hAnsi="Times New Roman" w:cs="Times New Roman"/>
          <w:sz w:val="16"/>
          <w:szCs w:val="16"/>
        </w:rPr>
        <w:t xml:space="preserve"> v Crown Prosecution Service [2020] EWHC 3421 (Admin). </w:t>
      </w:r>
    </w:p>
  </w:footnote>
  <w:footnote w:id="6">
    <w:p w14:paraId="66E14DD4" w14:textId="77777777" w:rsidR="00385F6E" w:rsidRPr="00CB2E83" w:rsidRDefault="00385F6E" w:rsidP="00385F6E">
      <w:pPr>
        <w:pStyle w:val="FootnoteText"/>
        <w:rPr>
          <w:rFonts w:ascii="Times New Roman" w:hAnsi="Times New Roman" w:cs="Times New Roman"/>
          <w:sz w:val="16"/>
          <w:szCs w:val="16"/>
        </w:rPr>
      </w:pPr>
      <w:r w:rsidRPr="00CB2E83">
        <w:rPr>
          <w:rStyle w:val="FootnoteReference"/>
          <w:rFonts w:ascii="Times New Roman" w:hAnsi="Times New Roman" w:cs="Times New Roman"/>
          <w:sz w:val="16"/>
          <w:szCs w:val="16"/>
        </w:rPr>
        <w:footnoteRef/>
      </w:r>
      <w:r w:rsidRPr="00CB2E83">
        <w:rPr>
          <w:rFonts w:ascii="Times New Roman" w:hAnsi="Times New Roman" w:cs="Times New Roman"/>
          <w:sz w:val="16"/>
          <w:szCs w:val="16"/>
        </w:rPr>
        <w:t xml:space="preserve"> News | ‘University of Essex apologises to professor over trans-rights cancellation’ (BBC) (19</w:t>
      </w:r>
      <w:r w:rsidRPr="00CB2E83">
        <w:rPr>
          <w:rFonts w:ascii="Times New Roman" w:hAnsi="Times New Roman" w:cs="Times New Roman"/>
          <w:sz w:val="16"/>
          <w:szCs w:val="16"/>
          <w:vertAlign w:val="superscript"/>
        </w:rPr>
        <w:t>th</w:t>
      </w:r>
      <w:r w:rsidRPr="00CB2E83">
        <w:rPr>
          <w:rFonts w:ascii="Times New Roman" w:hAnsi="Times New Roman" w:cs="Times New Roman"/>
          <w:sz w:val="16"/>
          <w:szCs w:val="16"/>
        </w:rPr>
        <w:t xml:space="preserve"> May 2021) &lt;</w:t>
      </w:r>
      <w:hyperlink r:id="rId2" w:history="1">
        <w:r w:rsidRPr="00CB2E83">
          <w:rPr>
            <w:rStyle w:val="Hyperlink"/>
            <w:rFonts w:ascii="Times New Roman" w:hAnsi="Times New Roman" w:cs="Times New Roman"/>
            <w:sz w:val="16"/>
            <w:szCs w:val="16"/>
          </w:rPr>
          <w:t>University of Essex apologises to professor over trans-rights cancellation - BBC News</w:t>
        </w:r>
      </w:hyperlink>
      <w:r w:rsidRPr="00CB2E83">
        <w:rPr>
          <w:rFonts w:ascii="Times New Roman" w:hAnsi="Times New Roman" w:cs="Times New Roman"/>
          <w:sz w:val="16"/>
          <w:szCs w:val="16"/>
        </w:rPr>
        <w:t>&gt; accessed 10</w:t>
      </w:r>
      <w:r w:rsidRPr="00CB2E83">
        <w:rPr>
          <w:rFonts w:ascii="Times New Roman" w:hAnsi="Times New Roman" w:cs="Times New Roman"/>
          <w:sz w:val="16"/>
          <w:szCs w:val="16"/>
          <w:vertAlign w:val="superscript"/>
        </w:rPr>
        <w:t>th</w:t>
      </w:r>
      <w:r w:rsidRPr="00CB2E83">
        <w:rPr>
          <w:rFonts w:ascii="Times New Roman" w:hAnsi="Times New Roman" w:cs="Times New Roman"/>
          <w:sz w:val="16"/>
          <w:szCs w:val="16"/>
        </w:rPr>
        <w:t xml:space="preserve"> November 2023.</w:t>
      </w:r>
    </w:p>
  </w:footnote>
  <w:footnote w:id="7">
    <w:p w14:paraId="6C73BBD1" w14:textId="77777777" w:rsidR="00385F6E" w:rsidRPr="00CB2E83" w:rsidRDefault="00385F6E" w:rsidP="00385F6E">
      <w:pPr>
        <w:pStyle w:val="FootnoteText"/>
        <w:rPr>
          <w:rFonts w:ascii="Times New Roman" w:hAnsi="Times New Roman" w:cs="Times New Roman"/>
          <w:sz w:val="16"/>
          <w:szCs w:val="16"/>
        </w:rPr>
      </w:pPr>
      <w:r w:rsidRPr="00CB2E83">
        <w:rPr>
          <w:rStyle w:val="FootnoteReference"/>
          <w:rFonts w:ascii="Times New Roman" w:hAnsi="Times New Roman" w:cs="Times New Roman"/>
          <w:sz w:val="16"/>
          <w:szCs w:val="16"/>
        </w:rPr>
        <w:footnoteRef/>
      </w:r>
      <w:r w:rsidRPr="00CB2E83">
        <w:rPr>
          <w:rFonts w:ascii="Times New Roman" w:hAnsi="Times New Roman" w:cs="Times New Roman"/>
          <w:sz w:val="16"/>
          <w:szCs w:val="16"/>
        </w:rPr>
        <w:t xml:space="preserve"> B Morrow | ‘J.K. </w:t>
      </w:r>
      <w:proofErr w:type="spellStart"/>
      <w:r w:rsidRPr="00CB2E83">
        <w:rPr>
          <w:rFonts w:ascii="Times New Roman" w:hAnsi="Times New Roman" w:cs="Times New Roman"/>
          <w:sz w:val="16"/>
          <w:szCs w:val="16"/>
        </w:rPr>
        <w:t>Rowling;s</w:t>
      </w:r>
      <w:proofErr w:type="spellEnd"/>
      <w:r w:rsidRPr="00CB2E83">
        <w:rPr>
          <w:rFonts w:ascii="Times New Roman" w:hAnsi="Times New Roman" w:cs="Times New Roman"/>
          <w:sz w:val="16"/>
          <w:szCs w:val="16"/>
        </w:rPr>
        <w:t xml:space="preserve"> transphobia controversy: A complete timeline’ (13</w:t>
      </w:r>
      <w:r w:rsidRPr="00CB2E83">
        <w:rPr>
          <w:rFonts w:ascii="Times New Roman" w:hAnsi="Times New Roman" w:cs="Times New Roman"/>
          <w:sz w:val="16"/>
          <w:szCs w:val="16"/>
          <w:vertAlign w:val="superscript"/>
        </w:rPr>
        <w:t>th</w:t>
      </w:r>
      <w:r w:rsidRPr="00CB2E83">
        <w:rPr>
          <w:rFonts w:ascii="Times New Roman" w:hAnsi="Times New Roman" w:cs="Times New Roman"/>
          <w:sz w:val="16"/>
          <w:szCs w:val="16"/>
        </w:rPr>
        <w:t xml:space="preserve"> Feb 2023) &lt;</w:t>
      </w:r>
      <w:hyperlink r:id="rId3" w:history="1">
        <w:r w:rsidRPr="00CB2E83">
          <w:rPr>
            <w:rStyle w:val="Hyperlink"/>
            <w:rFonts w:ascii="Times New Roman" w:hAnsi="Times New Roman" w:cs="Times New Roman"/>
            <w:sz w:val="16"/>
            <w:szCs w:val="16"/>
          </w:rPr>
          <w:t>J.K. Rowling's transphobia controversy: A complete timeline | The Week UK</w:t>
        </w:r>
      </w:hyperlink>
      <w:r w:rsidRPr="00CB2E83">
        <w:rPr>
          <w:rFonts w:ascii="Times New Roman" w:hAnsi="Times New Roman" w:cs="Times New Roman"/>
          <w:sz w:val="16"/>
          <w:szCs w:val="16"/>
        </w:rPr>
        <w:t>&gt; accessed 1</w:t>
      </w:r>
      <w:r w:rsidRPr="00CB2E83">
        <w:rPr>
          <w:rFonts w:ascii="Times New Roman" w:hAnsi="Times New Roman" w:cs="Times New Roman"/>
          <w:sz w:val="16"/>
          <w:szCs w:val="16"/>
          <w:vertAlign w:val="superscript"/>
        </w:rPr>
        <w:t>st</w:t>
      </w:r>
      <w:r w:rsidRPr="00CB2E83">
        <w:rPr>
          <w:rFonts w:ascii="Times New Roman" w:hAnsi="Times New Roman" w:cs="Times New Roman"/>
          <w:sz w:val="16"/>
          <w:szCs w:val="16"/>
        </w:rPr>
        <w:t xml:space="preserve"> November 2023.</w:t>
      </w:r>
      <w:r w:rsidRPr="00CB2E83">
        <w:rPr>
          <w:rFonts w:ascii="Times New Roman" w:hAnsi="Times New Roman" w:cs="Times New Roman"/>
        </w:rPr>
        <w:t xml:space="preserve"> </w:t>
      </w:r>
    </w:p>
  </w:footnote>
  <w:footnote w:id="8">
    <w:p w14:paraId="2EF94028" w14:textId="77777777" w:rsidR="00385F6E" w:rsidRPr="00CB2E83" w:rsidRDefault="00385F6E" w:rsidP="00385F6E">
      <w:pPr>
        <w:pStyle w:val="FootnoteText"/>
        <w:rPr>
          <w:rFonts w:ascii="Times New Roman" w:hAnsi="Times New Roman" w:cs="Times New Roman"/>
          <w:sz w:val="16"/>
          <w:szCs w:val="16"/>
        </w:rPr>
      </w:pPr>
      <w:r w:rsidRPr="00CB2E83">
        <w:rPr>
          <w:rStyle w:val="FootnoteReference"/>
          <w:rFonts w:ascii="Times New Roman" w:hAnsi="Times New Roman" w:cs="Times New Roman"/>
          <w:sz w:val="16"/>
          <w:szCs w:val="16"/>
        </w:rPr>
        <w:footnoteRef/>
      </w:r>
      <w:r w:rsidRPr="00CB2E83">
        <w:rPr>
          <w:rFonts w:ascii="Times New Roman" w:hAnsi="Times New Roman" w:cs="Times New Roman"/>
          <w:sz w:val="16"/>
          <w:szCs w:val="16"/>
        </w:rPr>
        <w:t xml:space="preserve"> J Parker, and E Lawrie | ‘Stonewall boss defends new strategy amid criticism’ (BBC) (29</w:t>
      </w:r>
      <w:r w:rsidRPr="00CB2E83">
        <w:rPr>
          <w:rFonts w:ascii="Times New Roman" w:hAnsi="Times New Roman" w:cs="Times New Roman"/>
          <w:sz w:val="16"/>
          <w:szCs w:val="16"/>
          <w:vertAlign w:val="superscript"/>
        </w:rPr>
        <w:t>th</w:t>
      </w:r>
      <w:r w:rsidRPr="00CB2E83">
        <w:rPr>
          <w:rFonts w:ascii="Times New Roman" w:hAnsi="Times New Roman" w:cs="Times New Roman"/>
          <w:sz w:val="16"/>
          <w:szCs w:val="16"/>
        </w:rPr>
        <w:t xml:space="preserve"> May 2021) &lt;</w:t>
      </w:r>
      <w:hyperlink r:id="rId4" w:history="1">
        <w:r w:rsidRPr="00CB2E83">
          <w:rPr>
            <w:rStyle w:val="Hyperlink"/>
            <w:rFonts w:ascii="Times New Roman" w:hAnsi="Times New Roman" w:cs="Times New Roman"/>
            <w:sz w:val="16"/>
            <w:szCs w:val="16"/>
          </w:rPr>
          <w:t>Stonewall boss defends new strategy amid criticism - BBC News</w:t>
        </w:r>
      </w:hyperlink>
      <w:r w:rsidRPr="00CB2E83">
        <w:rPr>
          <w:rFonts w:ascii="Times New Roman" w:hAnsi="Times New Roman" w:cs="Times New Roman"/>
          <w:sz w:val="16"/>
          <w:szCs w:val="16"/>
        </w:rPr>
        <w:t>&gt; accessed 9</w:t>
      </w:r>
      <w:r w:rsidRPr="00CB2E83">
        <w:rPr>
          <w:rFonts w:ascii="Times New Roman" w:hAnsi="Times New Roman" w:cs="Times New Roman"/>
          <w:sz w:val="16"/>
          <w:szCs w:val="16"/>
          <w:vertAlign w:val="superscript"/>
        </w:rPr>
        <w:t>th</w:t>
      </w:r>
      <w:r w:rsidRPr="00CB2E83">
        <w:rPr>
          <w:rFonts w:ascii="Times New Roman" w:hAnsi="Times New Roman" w:cs="Times New Roman"/>
          <w:sz w:val="16"/>
          <w:szCs w:val="16"/>
        </w:rPr>
        <w:t xml:space="preserve"> November 2023. </w:t>
      </w:r>
    </w:p>
  </w:footnote>
  <w:footnote w:id="9">
    <w:p w14:paraId="2B1F027E" w14:textId="77777777" w:rsidR="00385F6E" w:rsidRPr="00CB2E83" w:rsidRDefault="00385F6E" w:rsidP="00385F6E">
      <w:pPr>
        <w:pStyle w:val="FootnoteText"/>
        <w:rPr>
          <w:rFonts w:ascii="Times New Roman" w:hAnsi="Times New Roman" w:cs="Times New Roman"/>
          <w:i/>
          <w:iCs/>
          <w:sz w:val="16"/>
          <w:szCs w:val="16"/>
        </w:rPr>
      </w:pPr>
      <w:r w:rsidRPr="00CB2E83">
        <w:rPr>
          <w:rStyle w:val="FootnoteReference"/>
          <w:rFonts w:ascii="Times New Roman" w:hAnsi="Times New Roman" w:cs="Times New Roman"/>
          <w:sz w:val="16"/>
          <w:szCs w:val="16"/>
        </w:rPr>
        <w:footnoteRef/>
      </w:r>
      <w:r w:rsidRPr="00CB2E83">
        <w:rPr>
          <w:rFonts w:ascii="Times New Roman" w:hAnsi="Times New Roman" w:cs="Times New Roman"/>
          <w:sz w:val="16"/>
          <w:szCs w:val="16"/>
        </w:rPr>
        <w:t xml:space="preserve"> </w:t>
      </w:r>
      <w:proofErr w:type="spellStart"/>
      <w:r w:rsidRPr="00CB2E83">
        <w:rPr>
          <w:rFonts w:ascii="Times New Roman" w:hAnsi="Times New Roman" w:cs="Times New Roman"/>
          <w:i/>
          <w:iCs/>
          <w:sz w:val="16"/>
          <w:szCs w:val="16"/>
        </w:rPr>
        <w:t>Handyside</w:t>
      </w:r>
      <w:proofErr w:type="spellEnd"/>
      <w:r w:rsidRPr="00CB2E83">
        <w:rPr>
          <w:rFonts w:ascii="Times New Roman" w:hAnsi="Times New Roman" w:cs="Times New Roman"/>
          <w:i/>
          <w:iCs/>
          <w:sz w:val="16"/>
          <w:szCs w:val="16"/>
        </w:rPr>
        <w:t xml:space="preserve"> v UK</w:t>
      </w:r>
      <w:r w:rsidRPr="00CB2E83">
        <w:rPr>
          <w:rFonts w:ascii="Times New Roman" w:hAnsi="Times New Roman" w:cs="Times New Roman"/>
          <w:sz w:val="16"/>
          <w:szCs w:val="16"/>
        </w:rPr>
        <w:t xml:space="preserve">, </w:t>
      </w:r>
    </w:p>
  </w:footnote>
  <w:footnote w:id="10">
    <w:p w14:paraId="5FAF6BF2" w14:textId="77777777" w:rsidR="00385F6E" w:rsidRPr="00655207" w:rsidRDefault="00385F6E" w:rsidP="00385F6E">
      <w:pPr>
        <w:pStyle w:val="FootnoteText"/>
        <w:jc w:val="both"/>
        <w:rPr>
          <w:rFonts w:ascii="Times New Roman" w:hAnsi="Times New Roman" w:cs="Times New Roman"/>
          <w:sz w:val="16"/>
          <w:szCs w:val="16"/>
        </w:rPr>
      </w:pPr>
      <w:r w:rsidRPr="00CB2E83">
        <w:rPr>
          <w:rStyle w:val="FootnoteReference"/>
          <w:rFonts w:ascii="Times New Roman" w:hAnsi="Times New Roman" w:cs="Times New Roman"/>
          <w:sz w:val="16"/>
          <w:szCs w:val="16"/>
        </w:rPr>
        <w:footnoteRef/>
      </w:r>
      <w:r w:rsidRPr="00CB2E83">
        <w:rPr>
          <w:rFonts w:ascii="Times New Roman" w:hAnsi="Times New Roman" w:cs="Times New Roman"/>
          <w:sz w:val="16"/>
          <w:szCs w:val="16"/>
        </w:rPr>
        <w:t xml:space="preserve"> </w:t>
      </w:r>
      <w:r w:rsidRPr="00CB2E83">
        <w:rPr>
          <w:rFonts w:ascii="Times New Roman" w:hAnsi="Times New Roman" w:cs="Times New Roman"/>
          <w:i/>
          <w:iCs/>
          <w:sz w:val="16"/>
          <w:szCs w:val="16"/>
        </w:rPr>
        <w:t xml:space="preserve">Redmond-Bate v Director of Public Prosecutions </w:t>
      </w:r>
      <w:r w:rsidRPr="00CB2E83">
        <w:rPr>
          <w:rFonts w:ascii="Times New Roman" w:hAnsi="Times New Roman" w:cs="Times New Roman"/>
          <w:sz w:val="16"/>
          <w:szCs w:val="16"/>
        </w:rPr>
        <w:t>(1999) 7 BHRC 375. Sedley LJ [20].</w:t>
      </w:r>
    </w:p>
  </w:footnote>
  <w:footnote w:id="11">
    <w:p w14:paraId="67CD0A63" w14:textId="77777777" w:rsidR="00385F6E" w:rsidRPr="00CB2E83" w:rsidRDefault="00385F6E" w:rsidP="00385F6E">
      <w:pPr>
        <w:pStyle w:val="FootnoteText"/>
        <w:rPr>
          <w:rFonts w:ascii="Times New Roman" w:hAnsi="Times New Roman" w:cs="Times New Roman"/>
          <w:sz w:val="16"/>
          <w:szCs w:val="16"/>
        </w:rPr>
      </w:pPr>
      <w:r w:rsidRPr="00CB2E83">
        <w:rPr>
          <w:rStyle w:val="FootnoteReference"/>
          <w:rFonts w:ascii="Times New Roman" w:hAnsi="Times New Roman" w:cs="Times New Roman"/>
          <w:sz w:val="16"/>
          <w:szCs w:val="16"/>
        </w:rPr>
        <w:footnoteRef/>
      </w:r>
      <w:r w:rsidRPr="00CB2E83">
        <w:rPr>
          <w:rFonts w:ascii="Times New Roman" w:hAnsi="Times New Roman" w:cs="Times New Roman"/>
          <w:sz w:val="16"/>
          <w:szCs w:val="16"/>
        </w:rPr>
        <w:t xml:space="preserve"> Z </w:t>
      </w:r>
      <w:proofErr w:type="spellStart"/>
      <w:r w:rsidRPr="00CB2E83">
        <w:rPr>
          <w:rFonts w:ascii="Times New Roman" w:hAnsi="Times New Roman" w:cs="Times New Roman"/>
          <w:sz w:val="16"/>
          <w:szCs w:val="16"/>
        </w:rPr>
        <w:t>Laub</w:t>
      </w:r>
      <w:proofErr w:type="spellEnd"/>
      <w:r w:rsidRPr="00CB2E83">
        <w:rPr>
          <w:rFonts w:ascii="Times New Roman" w:hAnsi="Times New Roman" w:cs="Times New Roman"/>
          <w:sz w:val="16"/>
          <w:szCs w:val="16"/>
        </w:rPr>
        <w:t xml:space="preserve"> | ‘Hate Speech on Social Media: Global Comparisons’ (7</w:t>
      </w:r>
      <w:r w:rsidRPr="00CB2E83">
        <w:rPr>
          <w:rFonts w:ascii="Times New Roman" w:hAnsi="Times New Roman" w:cs="Times New Roman"/>
          <w:sz w:val="16"/>
          <w:szCs w:val="16"/>
          <w:vertAlign w:val="superscript"/>
        </w:rPr>
        <w:t>th</w:t>
      </w:r>
      <w:r w:rsidRPr="00CB2E83">
        <w:rPr>
          <w:rFonts w:ascii="Times New Roman" w:hAnsi="Times New Roman" w:cs="Times New Roman"/>
          <w:sz w:val="16"/>
          <w:szCs w:val="16"/>
        </w:rPr>
        <w:t xml:space="preserve"> June 2019)  &lt;</w:t>
      </w:r>
      <w:hyperlink r:id="rId5" w:anchor=":~:text=As%20more%20and%20more%20people%20have%20moved%20online%2C,violent%20actors%20the%20opportunity%20to%20publicize%20their%20acts." w:history="1">
        <w:r w:rsidRPr="00CB2E83">
          <w:rPr>
            <w:rStyle w:val="Hyperlink"/>
            <w:rFonts w:ascii="Times New Roman" w:hAnsi="Times New Roman" w:cs="Times New Roman"/>
            <w:sz w:val="16"/>
            <w:szCs w:val="16"/>
          </w:rPr>
          <w:t>Hate Speech on Social Media: Global Comparisons | Council on Foreign Relations (cfr.org)</w:t>
        </w:r>
      </w:hyperlink>
      <w:r w:rsidRPr="00CB2E83">
        <w:rPr>
          <w:rFonts w:ascii="Times New Roman" w:hAnsi="Times New Roman" w:cs="Times New Roman"/>
          <w:sz w:val="16"/>
          <w:szCs w:val="16"/>
        </w:rPr>
        <w:t>&gt; accessed 25</w:t>
      </w:r>
      <w:r w:rsidRPr="00CB2E83">
        <w:rPr>
          <w:rFonts w:ascii="Times New Roman" w:hAnsi="Times New Roman" w:cs="Times New Roman"/>
          <w:sz w:val="16"/>
          <w:szCs w:val="16"/>
          <w:vertAlign w:val="superscript"/>
        </w:rPr>
        <w:t>th</w:t>
      </w:r>
      <w:r w:rsidRPr="00CB2E83">
        <w:rPr>
          <w:rFonts w:ascii="Times New Roman" w:hAnsi="Times New Roman" w:cs="Times New Roman"/>
          <w:sz w:val="16"/>
          <w:szCs w:val="16"/>
        </w:rPr>
        <w:t xml:space="preserve"> February 2023. </w:t>
      </w:r>
    </w:p>
  </w:footnote>
  <w:footnote w:id="12">
    <w:p w14:paraId="40147240" w14:textId="77777777" w:rsidR="00385F6E" w:rsidRPr="00CB2E83" w:rsidRDefault="00385F6E" w:rsidP="00385F6E">
      <w:pPr>
        <w:pStyle w:val="FootnoteText"/>
        <w:rPr>
          <w:rFonts w:ascii="Times New Roman" w:hAnsi="Times New Roman" w:cs="Times New Roman"/>
          <w:sz w:val="16"/>
          <w:szCs w:val="16"/>
        </w:rPr>
      </w:pPr>
      <w:r w:rsidRPr="00CB2E83">
        <w:rPr>
          <w:rStyle w:val="FootnoteReference"/>
          <w:rFonts w:ascii="Times New Roman" w:hAnsi="Times New Roman" w:cs="Times New Roman"/>
          <w:sz w:val="16"/>
          <w:szCs w:val="16"/>
        </w:rPr>
        <w:footnoteRef/>
      </w:r>
      <w:r w:rsidRPr="00CB2E83">
        <w:rPr>
          <w:rFonts w:ascii="Times New Roman" w:hAnsi="Times New Roman" w:cs="Times New Roman"/>
          <w:sz w:val="16"/>
          <w:szCs w:val="16"/>
        </w:rPr>
        <w:t xml:space="preserve"> Article | ‘Online abuse of women widespread in the UK’ (20</w:t>
      </w:r>
      <w:r w:rsidRPr="00CB2E83">
        <w:rPr>
          <w:rFonts w:ascii="Times New Roman" w:hAnsi="Times New Roman" w:cs="Times New Roman"/>
          <w:sz w:val="16"/>
          <w:szCs w:val="16"/>
          <w:vertAlign w:val="superscript"/>
        </w:rPr>
        <w:t>th</w:t>
      </w:r>
      <w:r w:rsidRPr="00CB2E83">
        <w:rPr>
          <w:rFonts w:ascii="Times New Roman" w:hAnsi="Times New Roman" w:cs="Times New Roman"/>
          <w:sz w:val="16"/>
          <w:szCs w:val="16"/>
        </w:rPr>
        <w:t xml:space="preserve"> September 2023) &lt;</w:t>
      </w:r>
      <w:hyperlink r:id="rId6" w:history="1">
        <w:r w:rsidRPr="00CB2E83">
          <w:rPr>
            <w:rStyle w:val="Hyperlink"/>
            <w:rFonts w:ascii="Times New Roman" w:hAnsi="Times New Roman" w:cs="Times New Roman"/>
            <w:sz w:val="16"/>
            <w:szCs w:val="16"/>
          </w:rPr>
          <w:t>Online abuse of women widespread in UK | Amnesty International UK</w:t>
        </w:r>
      </w:hyperlink>
      <w:r w:rsidRPr="00CB2E83">
        <w:rPr>
          <w:rFonts w:ascii="Times New Roman" w:hAnsi="Times New Roman" w:cs="Times New Roman"/>
          <w:sz w:val="16"/>
          <w:szCs w:val="16"/>
        </w:rPr>
        <w:t>&gt; accessed 20</w:t>
      </w:r>
      <w:r w:rsidRPr="00CB2E83">
        <w:rPr>
          <w:rFonts w:ascii="Times New Roman" w:hAnsi="Times New Roman" w:cs="Times New Roman"/>
          <w:sz w:val="16"/>
          <w:szCs w:val="16"/>
          <w:vertAlign w:val="superscript"/>
        </w:rPr>
        <w:t>th</w:t>
      </w:r>
      <w:r w:rsidRPr="00CB2E83">
        <w:rPr>
          <w:rFonts w:ascii="Times New Roman" w:hAnsi="Times New Roman" w:cs="Times New Roman"/>
          <w:sz w:val="16"/>
          <w:szCs w:val="16"/>
        </w:rPr>
        <w:t xml:space="preserve"> September 2023. </w:t>
      </w:r>
    </w:p>
  </w:footnote>
  <w:footnote w:id="13">
    <w:p w14:paraId="6B6FC582" w14:textId="77777777" w:rsidR="00385F6E" w:rsidRPr="00CB2E83" w:rsidRDefault="00385F6E" w:rsidP="00385F6E">
      <w:pPr>
        <w:pStyle w:val="FootnoteText"/>
        <w:rPr>
          <w:rFonts w:ascii="Times New Roman" w:hAnsi="Times New Roman" w:cs="Times New Roman"/>
          <w:sz w:val="16"/>
          <w:szCs w:val="16"/>
        </w:rPr>
      </w:pPr>
      <w:r w:rsidRPr="00CB2E83">
        <w:rPr>
          <w:rStyle w:val="FootnoteReference"/>
          <w:rFonts w:ascii="Times New Roman" w:hAnsi="Times New Roman" w:cs="Times New Roman"/>
          <w:sz w:val="16"/>
          <w:szCs w:val="16"/>
        </w:rPr>
        <w:footnoteRef/>
      </w:r>
      <w:r w:rsidRPr="00CB2E83">
        <w:rPr>
          <w:rFonts w:ascii="Times New Roman" w:hAnsi="Times New Roman" w:cs="Times New Roman"/>
          <w:sz w:val="16"/>
          <w:szCs w:val="16"/>
        </w:rPr>
        <w:t xml:space="preserve"> By way of protected characteristics or in the realm of hate crime.</w:t>
      </w:r>
    </w:p>
  </w:footnote>
  <w:footnote w:id="14">
    <w:p w14:paraId="39F8F846" w14:textId="77777777" w:rsidR="00385F6E" w:rsidRPr="00CB2E83" w:rsidRDefault="00385F6E" w:rsidP="00385F6E">
      <w:pPr>
        <w:pStyle w:val="FootnoteText"/>
        <w:rPr>
          <w:rFonts w:ascii="Times New Roman" w:hAnsi="Times New Roman" w:cs="Times New Roman"/>
          <w:sz w:val="16"/>
          <w:szCs w:val="16"/>
        </w:rPr>
      </w:pPr>
      <w:r w:rsidRPr="00CB2E83">
        <w:rPr>
          <w:rStyle w:val="FootnoteReference"/>
          <w:rFonts w:ascii="Times New Roman" w:hAnsi="Times New Roman" w:cs="Times New Roman"/>
          <w:sz w:val="16"/>
          <w:szCs w:val="16"/>
        </w:rPr>
        <w:footnoteRef/>
      </w:r>
      <w:r w:rsidRPr="00CB2E83">
        <w:rPr>
          <w:rFonts w:ascii="Times New Roman" w:hAnsi="Times New Roman" w:cs="Times New Roman"/>
          <w:sz w:val="16"/>
          <w:szCs w:val="16"/>
        </w:rPr>
        <w:t xml:space="preserve"> COE | ‘</w:t>
      </w:r>
      <w:r w:rsidRPr="00CB2E83">
        <w:rPr>
          <w:rFonts w:ascii="Times New Roman" w:hAnsi="Times New Roman" w:cs="Times New Roman"/>
          <w:bCs/>
          <w:color w:val="000000" w:themeColor="text1"/>
          <w:sz w:val="16"/>
          <w:szCs w:val="16"/>
          <w:shd w:val="clear" w:color="auto" w:fill="FFFFFF"/>
        </w:rPr>
        <w:t>Framework Decision on combating certain forms and expressions of racism and xenophobia by means of criminal law’ (</w:t>
      </w:r>
      <w:r w:rsidRPr="00CB2E83">
        <w:rPr>
          <w:rFonts w:ascii="Times New Roman" w:hAnsi="Times New Roman" w:cs="Times New Roman"/>
          <w:bCs/>
          <w:color w:val="444444"/>
          <w:sz w:val="16"/>
          <w:szCs w:val="16"/>
          <w:shd w:val="clear" w:color="auto" w:fill="FFFFFF"/>
        </w:rPr>
        <w:t>15</w:t>
      </w:r>
      <w:r w:rsidRPr="00CB2E83">
        <w:rPr>
          <w:rFonts w:ascii="Times New Roman" w:hAnsi="Times New Roman" w:cs="Times New Roman"/>
          <w:bCs/>
          <w:color w:val="444444"/>
          <w:sz w:val="16"/>
          <w:szCs w:val="16"/>
          <w:shd w:val="clear" w:color="auto" w:fill="FFFFFF"/>
          <w:vertAlign w:val="superscript"/>
        </w:rPr>
        <w:t>th</w:t>
      </w:r>
      <w:r w:rsidRPr="00CB2E83">
        <w:rPr>
          <w:rFonts w:ascii="Times New Roman" w:hAnsi="Times New Roman" w:cs="Times New Roman"/>
          <w:bCs/>
          <w:color w:val="444444"/>
          <w:sz w:val="16"/>
          <w:szCs w:val="16"/>
          <w:shd w:val="clear" w:color="auto" w:fill="FFFFFF"/>
        </w:rPr>
        <w:t xml:space="preserve"> June 2014) &lt;</w:t>
      </w:r>
      <w:hyperlink r:id="rId7" w:history="1">
        <w:r w:rsidRPr="00CB2E83">
          <w:rPr>
            <w:rStyle w:val="Hyperlink"/>
            <w:rFonts w:ascii="Times New Roman" w:hAnsi="Times New Roman" w:cs="Times New Roman"/>
            <w:sz w:val="16"/>
            <w:szCs w:val="16"/>
          </w:rPr>
          <w:t>EUR-Lex - l33178 - EN - EUR-Lex (europa.eu)</w:t>
        </w:r>
      </w:hyperlink>
      <w:r w:rsidRPr="00CB2E83">
        <w:rPr>
          <w:rFonts w:ascii="Times New Roman" w:hAnsi="Times New Roman" w:cs="Times New Roman"/>
          <w:sz w:val="16"/>
          <w:szCs w:val="16"/>
        </w:rPr>
        <w:t>&gt; accessed 25</w:t>
      </w:r>
      <w:r w:rsidRPr="00CB2E83">
        <w:rPr>
          <w:rFonts w:ascii="Times New Roman" w:hAnsi="Times New Roman" w:cs="Times New Roman"/>
          <w:sz w:val="16"/>
          <w:szCs w:val="16"/>
          <w:vertAlign w:val="superscript"/>
        </w:rPr>
        <w:t>th</w:t>
      </w:r>
      <w:r w:rsidRPr="00CB2E83">
        <w:rPr>
          <w:rFonts w:ascii="Times New Roman" w:hAnsi="Times New Roman" w:cs="Times New Roman"/>
          <w:sz w:val="16"/>
          <w:szCs w:val="16"/>
        </w:rPr>
        <w:t xml:space="preserve"> June 2023.</w:t>
      </w:r>
    </w:p>
  </w:footnote>
  <w:footnote w:id="15">
    <w:p w14:paraId="1F596C93" w14:textId="77777777" w:rsidR="00385F6E" w:rsidRPr="00CB2E83" w:rsidRDefault="00385F6E" w:rsidP="00385F6E">
      <w:pPr>
        <w:pStyle w:val="FootnoteText"/>
        <w:rPr>
          <w:rFonts w:ascii="Times New Roman" w:hAnsi="Times New Roman" w:cs="Times New Roman"/>
          <w:sz w:val="16"/>
          <w:szCs w:val="16"/>
        </w:rPr>
      </w:pPr>
      <w:r w:rsidRPr="00CB2E83">
        <w:rPr>
          <w:rStyle w:val="FootnoteReference"/>
          <w:rFonts w:ascii="Times New Roman" w:hAnsi="Times New Roman" w:cs="Times New Roman"/>
          <w:sz w:val="16"/>
          <w:szCs w:val="16"/>
        </w:rPr>
        <w:footnoteRef/>
      </w:r>
      <w:r w:rsidRPr="00CB2E83">
        <w:rPr>
          <w:rFonts w:ascii="Times New Roman" w:hAnsi="Times New Roman" w:cs="Times New Roman"/>
          <w:sz w:val="16"/>
          <w:szCs w:val="16"/>
        </w:rPr>
        <w:t xml:space="preserve"> Public Order Act 1986.</w:t>
      </w:r>
    </w:p>
  </w:footnote>
  <w:footnote w:id="16">
    <w:p w14:paraId="44A70065" w14:textId="77777777" w:rsidR="00385F6E" w:rsidRPr="00CB2E83" w:rsidRDefault="00385F6E" w:rsidP="00385F6E">
      <w:pPr>
        <w:pStyle w:val="FootnoteText"/>
        <w:rPr>
          <w:rFonts w:ascii="Times New Roman" w:hAnsi="Times New Roman" w:cs="Times New Roman"/>
          <w:sz w:val="16"/>
          <w:szCs w:val="16"/>
        </w:rPr>
      </w:pPr>
      <w:r w:rsidRPr="00CB2E83">
        <w:rPr>
          <w:rStyle w:val="FootnoteReference"/>
          <w:rFonts w:ascii="Times New Roman" w:hAnsi="Times New Roman" w:cs="Times New Roman"/>
          <w:sz w:val="16"/>
          <w:szCs w:val="16"/>
        </w:rPr>
        <w:footnoteRef/>
      </w:r>
      <w:r w:rsidRPr="00CB2E83">
        <w:rPr>
          <w:rFonts w:ascii="Times New Roman" w:hAnsi="Times New Roman" w:cs="Times New Roman"/>
          <w:sz w:val="16"/>
          <w:szCs w:val="16"/>
        </w:rPr>
        <w:t xml:space="preserve"> Communications Act 2003; S.127. </w:t>
      </w:r>
    </w:p>
  </w:footnote>
  <w:footnote w:id="17">
    <w:p w14:paraId="55C6F6FC" w14:textId="77777777" w:rsidR="00385F6E" w:rsidRPr="00CB2E83" w:rsidRDefault="00385F6E" w:rsidP="00385F6E">
      <w:pPr>
        <w:pStyle w:val="FootnoteText"/>
        <w:rPr>
          <w:rFonts w:ascii="Times New Roman" w:hAnsi="Times New Roman" w:cs="Times New Roman"/>
          <w:sz w:val="16"/>
          <w:szCs w:val="16"/>
        </w:rPr>
      </w:pPr>
      <w:r w:rsidRPr="00CB2E83">
        <w:rPr>
          <w:rStyle w:val="FootnoteReference"/>
          <w:rFonts w:ascii="Times New Roman" w:hAnsi="Times New Roman" w:cs="Times New Roman"/>
          <w:sz w:val="16"/>
          <w:szCs w:val="16"/>
        </w:rPr>
        <w:footnoteRef/>
      </w:r>
      <w:r w:rsidRPr="00CB2E83">
        <w:rPr>
          <w:rFonts w:ascii="Times New Roman" w:hAnsi="Times New Roman" w:cs="Times New Roman"/>
          <w:sz w:val="16"/>
          <w:szCs w:val="16"/>
        </w:rPr>
        <w:t xml:space="preserve"> Malicious Communications Act 1988. </w:t>
      </w:r>
    </w:p>
  </w:footnote>
  <w:footnote w:id="18">
    <w:p w14:paraId="4CFE08A6" w14:textId="77777777" w:rsidR="00385F6E" w:rsidRPr="00CB2E83" w:rsidRDefault="00385F6E" w:rsidP="00385F6E">
      <w:pPr>
        <w:pStyle w:val="FootnoteText"/>
        <w:rPr>
          <w:rFonts w:ascii="Times New Roman" w:hAnsi="Times New Roman" w:cs="Times New Roman"/>
          <w:sz w:val="16"/>
          <w:szCs w:val="16"/>
        </w:rPr>
      </w:pPr>
      <w:r w:rsidRPr="00CB2E83">
        <w:rPr>
          <w:rStyle w:val="FootnoteReference"/>
          <w:rFonts w:ascii="Times New Roman" w:hAnsi="Times New Roman" w:cs="Times New Roman"/>
          <w:sz w:val="16"/>
          <w:szCs w:val="16"/>
        </w:rPr>
        <w:footnoteRef/>
      </w:r>
      <w:r w:rsidRPr="00CB2E83">
        <w:rPr>
          <w:rFonts w:ascii="Times New Roman" w:hAnsi="Times New Roman" w:cs="Times New Roman"/>
          <w:sz w:val="16"/>
          <w:szCs w:val="16"/>
        </w:rPr>
        <w:t xml:space="preserve"> Human Rights Act 1998. </w:t>
      </w:r>
    </w:p>
  </w:footnote>
  <w:footnote w:id="19">
    <w:p w14:paraId="489E9FBF" w14:textId="77777777" w:rsidR="00385F6E" w:rsidRPr="00CB2E83" w:rsidRDefault="00385F6E" w:rsidP="00385F6E">
      <w:pPr>
        <w:spacing w:after="0" w:line="240" w:lineRule="auto"/>
        <w:rPr>
          <w:rFonts w:ascii="Times New Roman" w:eastAsia="Arial" w:hAnsi="Times New Roman" w:cs="Times New Roman"/>
          <w:sz w:val="24"/>
          <w:szCs w:val="24"/>
        </w:rPr>
      </w:pPr>
      <w:r w:rsidRPr="00CB2E83">
        <w:rPr>
          <w:rStyle w:val="FootnoteReference"/>
          <w:rFonts w:ascii="Times New Roman" w:hAnsi="Times New Roman" w:cs="Times New Roman"/>
          <w:sz w:val="16"/>
          <w:szCs w:val="16"/>
        </w:rPr>
        <w:footnoteRef/>
      </w:r>
      <w:r w:rsidRPr="00CB2E83">
        <w:rPr>
          <w:rFonts w:ascii="Times New Roman" w:hAnsi="Times New Roman" w:cs="Times New Roman"/>
          <w:sz w:val="16"/>
          <w:szCs w:val="16"/>
        </w:rPr>
        <w:t xml:space="preserve"> </w:t>
      </w:r>
      <w:r w:rsidRPr="00CB2E83">
        <w:rPr>
          <w:rFonts w:ascii="Times New Roman" w:eastAsia="Arial" w:hAnsi="Times New Roman" w:cs="Times New Roman"/>
          <w:sz w:val="16"/>
          <w:szCs w:val="16"/>
        </w:rPr>
        <w:t>Connolly v Director of Public Prosecutions [2007] EWHC 237 (Admin)</w:t>
      </w:r>
    </w:p>
  </w:footnote>
  <w:footnote w:id="20">
    <w:p w14:paraId="08633B41" w14:textId="77777777" w:rsidR="00385F6E" w:rsidRPr="00CB2E83" w:rsidRDefault="00385F6E" w:rsidP="00385F6E">
      <w:pPr>
        <w:pStyle w:val="FootnoteText"/>
        <w:rPr>
          <w:rFonts w:ascii="Times New Roman" w:hAnsi="Times New Roman" w:cs="Times New Roman"/>
          <w:sz w:val="16"/>
          <w:szCs w:val="16"/>
        </w:rPr>
      </w:pPr>
      <w:r w:rsidRPr="00CB2E83">
        <w:rPr>
          <w:rStyle w:val="FootnoteReference"/>
          <w:rFonts w:ascii="Times New Roman" w:hAnsi="Times New Roman" w:cs="Times New Roman"/>
          <w:sz w:val="16"/>
          <w:szCs w:val="16"/>
        </w:rPr>
        <w:footnoteRef/>
      </w:r>
      <w:r w:rsidRPr="00CB2E83">
        <w:rPr>
          <w:rFonts w:ascii="Times New Roman" w:hAnsi="Times New Roman" w:cs="Times New Roman"/>
          <w:sz w:val="16"/>
          <w:szCs w:val="16"/>
        </w:rPr>
        <w:t xml:space="preserve"> </w:t>
      </w:r>
      <w:r w:rsidRPr="00CB2E83">
        <w:rPr>
          <w:rFonts w:ascii="Times New Roman" w:hAnsi="Times New Roman" w:cs="Times New Roman"/>
          <w:i/>
          <w:iCs/>
          <w:sz w:val="16"/>
          <w:szCs w:val="16"/>
        </w:rPr>
        <w:t>Karsten v Wood Green Crown Court</w:t>
      </w:r>
      <w:r w:rsidRPr="00CB2E83">
        <w:rPr>
          <w:rFonts w:ascii="Times New Roman" w:hAnsi="Times New Roman" w:cs="Times New Roman"/>
          <w:sz w:val="16"/>
          <w:szCs w:val="16"/>
        </w:rPr>
        <w:t xml:space="preserve"> [2014] EWHC 2900</w:t>
      </w:r>
    </w:p>
  </w:footnote>
  <w:footnote w:id="21">
    <w:p w14:paraId="61E4F06C" w14:textId="77777777" w:rsidR="00385F6E" w:rsidRPr="00567605" w:rsidRDefault="00385F6E" w:rsidP="00385F6E">
      <w:pPr>
        <w:pStyle w:val="FootnoteText"/>
        <w:rPr>
          <w:rFonts w:ascii="Arial" w:hAnsi="Arial" w:cs="Arial"/>
          <w:sz w:val="16"/>
          <w:szCs w:val="16"/>
        </w:rPr>
      </w:pPr>
      <w:r w:rsidRPr="00CB2E83">
        <w:rPr>
          <w:rStyle w:val="FootnoteReference"/>
          <w:rFonts w:ascii="Times New Roman" w:hAnsi="Times New Roman" w:cs="Times New Roman"/>
          <w:sz w:val="16"/>
          <w:szCs w:val="16"/>
        </w:rPr>
        <w:footnoteRef/>
      </w:r>
      <w:r w:rsidRPr="00CB2E83">
        <w:rPr>
          <w:rFonts w:ascii="Times New Roman" w:hAnsi="Times New Roman" w:cs="Times New Roman"/>
          <w:sz w:val="16"/>
          <w:szCs w:val="16"/>
        </w:rPr>
        <w:t xml:space="preserve"> M Evans, </w:t>
      </w:r>
      <w:r w:rsidRPr="00CB2E83">
        <w:rPr>
          <w:rFonts w:ascii="Times New Roman" w:hAnsi="Times New Roman" w:cs="Times New Roman"/>
          <w:i/>
          <w:iCs/>
          <w:sz w:val="16"/>
          <w:szCs w:val="16"/>
        </w:rPr>
        <w:t>International Law</w:t>
      </w:r>
      <w:r w:rsidRPr="00CB2E83">
        <w:rPr>
          <w:rFonts w:ascii="Times New Roman" w:hAnsi="Times New Roman" w:cs="Times New Roman"/>
          <w:sz w:val="16"/>
          <w:szCs w:val="16"/>
        </w:rPr>
        <w:t xml:space="preserve"> (5</w:t>
      </w:r>
      <w:r w:rsidRPr="00CB2E83">
        <w:rPr>
          <w:rFonts w:ascii="Times New Roman" w:hAnsi="Times New Roman" w:cs="Times New Roman"/>
          <w:sz w:val="16"/>
          <w:szCs w:val="16"/>
          <w:vertAlign w:val="superscript"/>
        </w:rPr>
        <w:t>th</w:t>
      </w:r>
      <w:r w:rsidRPr="00CB2E83">
        <w:rPr>
          <w:rFonts w:ascii="Times New Roman" w:hAnsi="Times New Roman" w:cs="Times New Roman"/>
          <w:sz w:val="16"/>
          <w:szCs w:val="16"/>
        </w:rPr>
        <w:t xml:space="preserve"> </w:t>
      </w:r>
      <w:proofErr w:type="spellStart"/>
      <w:r w:rsidRPr="00CB2E83">
        <w:rPr>
          <w:rFonts w:ascii="Times New Roman" w:hAnsi="Times New Roman" w:cs="Times New Roman"/>
          <w:sz w:val="16"/>
          <w:szCs w:val="16"/>
        </w:rPr>
        <w:t>Edn</w:t>
      </w:r>
      <w:proofErr w:type="spellEnd"/>
      <w:r w:rsidRPr="00CB2E83">
        <w:rPr>
          <w:rFonts w:ascii="Times New Roman" w:hAnsi="Times New Roman" w:cs="Times New Roman"/>
          <w:sz w:val="16"/>
          <w:szCs w:val="16"/>
        </w:rPr>
        <w:t>, OUP 2018) 54.</w:t>
      </w:r>
    </w:p>
  </w:footnote>
  <w:footnote w:id="22">
    <w:p w14:paraId="26E847D6" w14:textId="77777777" w:rsidR="00385F6E" w:rsidRPr="00CB2E83" w:rsidRDefault="00385F6E" w:rsidP="00385F6E">
      <w:pPr>
        <w:pStyle w:val="FootnoteText"/>
        <w:rPr>
          <w:rFonts w:ascii="Times New Roman" w:hAnsi="Times New Roman" w:cs="Times New Roman"/>
          <w:sz w:val="16"/>
          <w:szCs w:val="16"/>
        </w:rPr>
      </w:pPr>
      <w:r w:rsidRPr="00CB2E83">
        <w:rPr>
          <w:rStyle w:val="FootnoteReference"/>
          <w:rFonts w:ascii="Times New Roman" w:hAnsi="Times New Roman" w:cs="Times New Roman"/>
          <w:sz w:val="16"/>
          <w:szCs w:val="16"/>
        </w:rPr>
        <w:footnoteRef/>
      </w:r>
      <w:r w:rsidRPr="00CB2E83">
        <w:rPr>
          <w:rFonts w:ascii="Times New Roman" w:hAnsi="Times New Roman" w:cs="Times New Roman"/>
          <w:sz w:val="16"/>
          <w:szCs w:val="16"/>
        </w:rPr>
        <w:t xml:space="preserve"> </w:t>
      </w:r>
      <w:proofErr w:type="spellStart"/>
      <w:r w:rsidRPr="00CB2E83">
        <w:rPr>
          <w:rFonts w:ascii="Times New Roman" w:hAnsi="Times New Roman" w:cs="Times New Roman"/>
          <w:sz w:val="16"/>
          <w:szCs w:val="16"/>
        </w:rPr>
        <w:t>V.</w:t>
      </w:r>
      <w:proofErr w:type="gramStart"/>
      <w:r w:rsidRPr="00CB2E83">
        <w:rPr>
          <w:rFonts w:ascii="Times New Roman" w:hAnsi="Times New Roman" w:cs="Times New Roman"/>
          <w:sz w:val="16"/>
          <w:szCs w:val="16"/>
        </w:rPr>
        <w:t>A.Blasi</w:t>
      </w:r>
      <w:proofErr w:type="spellEnd"/>
      <w:proofErr w:type="gramEnd"/>
      <w:r w:rsidRPr="00CB2E83">
        <w:rPr>
          <w:rFonts w:ascii="Times New Roman" w:hAnsi="Times New Roman" w:cs="Times New Roman"/>
          <w:sz w:val="16"/>
          <w:szCs w:val="16"/>
        </w:rPr>
        <w:t xml:space="preserve">, ‘A Reader’s Guide to John Milton’s </w:t>
      </w:r>
      <w:proofErr w:type="spellStart"/>
      <w:r w:rsidRPr="00CB2E83">
        <w:rPr>
          <w:rFonts w:ascii="Times New Roman" w:hAnsi="Times New Roman" w:cs="Times New Roman"/>
          <w:sz w:val="16"/>
          <w:szCs w:val="16"/>
        </w:rPr>
        <w:t>Areopagitica</w:t>
      </w:r>
      <w:proofErr w:type="spellEnd"/>
      <w:r w:rsidRPr="00CB2E83">
        <w:rPr>
          <w:rFonts w:ascii="Times New Roman" w:hAnsi="Times New Roman" w:cs="Times New Roman"/>
          <w:sz w:val="16"/>
          <w:szCs w:val="16"/>
        </w:rPr>
        <w:t>, the Foundational Essay of the First Amendment Tradition’ (2018) SUP. CT. REV. 273</w:t>
      </w:r>
    </w:p>
  </w:footnote>
  <w:footnote w:id="23">
    <w:p w14:paraId="3818A619" w14:textId="77777777" w:rsidR="00385F6E" w:rsidRPr="002F6F1C" w:rsidRDefault="00385F6E" w:rsidP="00385F6E">
      <w:pPr>
        <w:pStyle w:val="FootnoteText"/>
        <w:rPr>
          <w:rFonts w:ascii="Times New Roman" w:hAnsi="Times New Roman" w:cs="Times New Roman"/>
        </w:rPr>
      </w:pPr>
      <w:r w:rsidRPr="00CB2E83">
        <w:rPr>
          <w:rStyle w:val="FootnoteReference"/>
          <w:rFonts w:ascii="Times New Roman" w:hAnsi="Times New Roman" w:cs="Times New Roman"/>
          <w:sz w:val="16"/>
          <w:szCs w:val="16"/>
        </w:rPr>
        <w:footnoteRef/>
      </w:r>
      <w:r w:rsidRPr="00CB2E83">
        <w:rPr>
          <w:rFonts w:ascii="Times New Roman" w:hAnsi="Times New Roman" w:cs="Times New Roman"/>
          <w:sz w:val="16"/>
          <w:szCs w:val="16"/>
        </w:rPr>
        <w:t xml:space="preserve"> JS Mills, ‘On Liberty – Dover Thrift Edition’ (1</w:t>
      </w:r>
      <w:r w:rsidRPr="00CB2E83">
        <w:rPr>
          <w:rFonts w:ascii="Times New Roman" w:hAnsi="Times New Roman" w:cs="Times New Roman"/>
          <w:sz w:val="16"/>
          <w:szCs w:val="16"/>
          <w:vertAlign w:val="superscript"/>
        </w:rPr>
        <w:t>st</w:t>
      </w:r>
      <w:r w:rsidRPr="00CB2E83">
        <w:rPr>
          <w:rFonts w:ascii="Times New Roman" w:hAnsi="Times New Roman" w:cs="Times New Roman"/>
          <w:sz w:val="16"/>
          <w:szCs w:val="16"/>
        </w:rPr>
        <w:t xml:space="preserve"> </w:t>
      </w:r>
      <w:proofErr w:type="spellStart"/>
      <w:r w:rsidRPr="00CB2E83">
        <w:rPr>
          <w:rFonts w:ascii="Times New Roman" w:hAnsi="Times New Roman" w:cs="Times New Roman"/>
          <w:sz w:val="16"/>
          <w:szCs w:val="16"/>
        </w:rPr>
        <w:t>edn</w:t>
      </w:r>
      <w:proofErr w:type="spellEnd"/>
      <w:r w:rsidRPr="00CB2E83">
        <w:rPr>
          <w:rFonts w:ascii="Times New Roman" w:hAnsi="Times New Roman" w:cs="Times New Roman"/>
          <w:sz w:val="16"/>
          <w:szCs w:val="16"/>
        </w:rPr>
        <w:t>, Dover Publications 2002)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20A0"/>
    <w:multiLevelType w:val="hybridMultilevel"/>
    <w:tmpl w:val="855A71AC"/>
    <w:lvl w:ilvl="0" w:tplc="31923AAA">
      <w:start w:val="1"/>
      <w:numFmt w:val="bullet"/>
      <w:lvlText w:val="•"/>
      <w:lvlJc w:val="left"/>
      <w:pPr>
        <w:tabs>
          <w:tab w:val="num" w:pos="720"/>
        </w:tabs>
        <w:ind w:left="720" w:hanging="360"/>
      </w:pPr>
      <w:rPr>
        <w:rFonts w:ascii="Arial" w:hAnsi="Arial" w:hint="default"/>
      </w:rPr>
    </w:lvl>
    <w:lvl w:ilvl="1" w:tplc="F384D2CA" w:tentative="1">
      <w:start w:val="1"/>
      <w:numFmt w:val="bullet"/>
      <w:lvlText w:val="•"/>
      <w:lvlJc w:val="left"/>
      <w:pPr>
        <w:tabs>
          <w:tab w:val="num" w:pos="1440"/>
        </w:tabs>
        <w:ind w:left="1440" w:hanging="360"/>
      </w:pPr>
      <w:rPr>
        <w:rFonts w:ascii="Arial" w:hAnsi="Arial" w:hint="default"/>
      </w:rPr>
    </w:lvl>
    <w:lvl w:ilvl="2" w:tplc="2ED4E99A" w:tentative="1">
      <w:start w:val="1"/>
      <w:numFmt w:val="bullet"/>
      <w:lvlText w:val="•"/>
      <w:lvlJc w:val="left"/>
      <w:pPr>
        <w:tabs>
          <w:tab w:val="num" w:pos="2160"/>
        </w:tabs>
        <w:ind w:left="2160" w:hanging="360"/>
      </w:pPr>
      <w:rPr>
        <w:rFonts w:ascii="Arial" w:hAnsi="Arial" w:hint="default"/>
      </w:rPr>
    </w:lvl>
    <w:lvl w:ilvl="3" w:tplc="3D66D0BE" w:tentative="1">
      <w:start w:val="1"/>
      <w:numFmt w:val="bullet"/>
      <w:lvlText w:val="•"/>
      <w:lvlJc w:val="left"/>
      <w:pPr>
        <w:tabs>
          <w:tab w:val="num" w:pos="2880"/>
        </w:tabs>
        <w:ind w:left="2880" w:hanging="360"/>
      </w:pPr>
      <w:rPr>
        <w:rFonts w:ascii="Arial" w:hAnsi="Arial" w:hint="default"/>
      </w:rPr>
    </w:lvl>
    <w:lvl w:ilvl="4" w:tplc="ADD4138C" w:tentative="1">
      <w:start w:val="1"/>
      <w:numFmt w:val="bullet"/>
      <w:lvlText w:val="•"/>
      <w:lvlJc w:val="left"/>
      <w:pPr>
        <w:tabs>
          <w:tab w:val="num" w:pos="3600"/>
        </w:tabs>
        <w:ind w:left="3600" w:hanging="360"/>
      </w:pPr>
      <w:rPr>
        <w:rFonts w:ascii="Arial" w:hAnsi="Arial" w:hint="default"/>
      </w:rPr>
    </w:lvl>
    <w:lvl w:ilvl="5" w:tplc="4E383FF2" w:tentative="1">
      <w:start w:val="1"/>
      <w:numFmt w:val="bullet"/>
      <w:lvlText w:val="•"/>
      <w:lvlJc w:val="left"/>
      <w:pPr>
        <w:tabs>
          <w:tab w:val="num" w:pos="4320"/>
        </w:tabs>
        <w:ind w:left="4320" w:hanging="360"/>
      </w:pPr>
      <w:rPr>
        <w:rFonts w:ascii="Arial" w:hAnsi="Arial" w:hint="default"/>
      </w:rPr>
    </w:lvl>
    <w:lvl w:ilvl="6" w:tplc="7C9E365A" w:tentative="1">
      <w:start w:val="1"/>
      <w:numFmt w:val="bullet"/>
      <w:lvlText w:val="•"/>
      <w:lvlJc w:val="left"/>
      <w:pPr>
        <w:tabs>
          <w:tab w:val="num" w:pos="5040"/>
        </w:tabs>
        <w:ind w:left="5040" w:hanging="360"/>
      </w:pPr>
      <w:rPr>
        <w:rFonts w:ascii="Arial" w:hAnsi="Arial" w:hint="default"/>
      </w:rPr>
    </w:lvl>
    <w:lvl w:ilvl="7" w:tplc="89CA7C42" w:tentative="1">
      <w:start w:val="1"/>
      <w:numFmt w:val="bullet"/>
      <w:lvlText w:val="•"/>
      <w:lvlJc w:val="left"/>
      <w:pPr>
        <w:tabs>
          <w:tab w:val="num" w:pos="5760"/>
        </w:tabs>
        <w:ind w:left="5760" w:hanging="360"/>
      </w:pPr>
      <w:rPr>
        <w:rFonts w:ascii="Arial" w:hAnsi="Arial" w:hint="default"/>
      </w:rPr>
    </w:lvl>
    <w:lvl w:ilvl="8" w:tplc="86889A1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C871FB"/>
    <w:multiLevelType w:val="hybridMultilevel"/>
    <w:tmpl w:val="D5F491D2"/>
    <w:lvl w:ilvl="0" w:tplc="C79057CC">
      <w:start w:val="1"/>
      <w:numFmt w:val="decimal"/>
      <w:lvlText w:val="%1."/>
      <w:lvlJc w:val="left"/>
      <w:pPr>
        <w:tabs>
          <w:tab w:val="num" w:pos="720"/>
        </w:tabs>
        <w:ind w:left="720" w:hanging="360"/>
      </w:pPr>
    </w:lvl>
    <w:lvl w:ilvl="1" w:tplc="9BDA77C0" w:tentative="1">
      <w:start w:val="1"/>
      <w:numFmt w:val="decimal"/>
      <w:lvlText w:val="%2."/>
      <w:lvlJc w:val="left"/>
      <w:pPr>
        <w:tabs>
          <w:tab w:val="num" w:pos="1440"/>
        </w:tabs>
        <w:ind w:left="1440" w:hanging="360"/>
      </w:pPr>
    </w:lvl>
    <w:lvl w:ilvl="2" w:tplc="8696AA9C" w:tentative="1">
      <w:start w:val="1"/>
      <w:numFmt w:val="decimal"/>
      <w:lvlText w:val="%3."/>
      <w:lvlJc w:val="left"/>
      <w:pPr>
        <w:tabs>
          <w:tab w:val="num" w:pos="2160"/>
        </w:tabs>
        <w:ind w:left="2160" w:hanging="360"/>
      </w:pPr>
    </w:lvl>
    <w:lvl w:ilvl="3" w:tplc="D6EE222A" w:tentative="1">
      <w:start w:val="1"/>
      <w:numFmt w:val="decimal"/>
      <w:lvlText w:val="%4."/>
      <w:lvlJc w:val="left"/>
      <w:pPr>
        <w:tabs>
          <w:tab w:val="num" w:pos="2880"/>
        </w:tabs>
        <w:ind w:left="2880" w:hanging="360"/>
      </w:pPr>
    </w:lvl>
    <w:lvl w:ilvl="4" w:tplc="F0D6E07E" w:tentative="1">
      <w:start w:val="1"/>
      <w:numFmt w:val="decimal"/>
      <w:lvlText w:val="%5."/>
      <w:lvlJc w:val="left"/>
      <w:pPr>
        <w:tabs>
          <w:tab w:val="num" w:pos="3600"/>
        </w:tabs>
        <w:ind w:left="3600" w:hanging="360"/>
      </w:pPr>
    </w:lvl>
    <w:lvl w:ilvl="5" w:tplc="C46617A2" w:tentative="1">
      <w:start w:val="1"/>
      <w:numFmt w:val="decimal"/>
      <w:lvlText w:val="%6."/>
      <w:lvlJc w:val="left"/>
      <w:pPr>
        <w:tabs>
          <w:tab w:val="num" w:pos="4320"/>
        </w:tabs>
        <w:ind w:left="4320" w:hanging="360"/>
      </w:pPr>
    </w:lvl>
    <w:lvl w:ilvl="6" w:tplc="E97E3EB6" w:tentative="1">
      <w:start w:val="1"/>
      <w:numFmt w:val="decimal"/>
      <w:lvlText w:val="%7."/>
      <w:lvlJc w:val="left"/>
      <w:pPr>
        <w:tabs>
          <w:tab w:val="num" w:pos="5040"/>
        </w:tabs>
        <w:ind w:left="5040" w:hanging="360"/>
      </w:pPr>
    </w:lvl>
    <w:lvl w:ilvl="7" w:tplc="4BAECCEC" w:tentative="1">
      <w:start w:val="1"/>
      <w:numFmt w:val="decimal"/>
      <w:lvlText w:val="%8."/>
      <w:lvlJc w:val="left"/>
      <w:pPr>
        <w:tabs>
          <w:tab w:val="num" w:pos="5760"/>
        </w:tabs>
        <w:ind w:left="5760" w:hanging="360"/>
      </w:pPr>
    </w:lvl>
    <w:lvl w:ilvl="8" w:tplc="12742844" w:tentative="1">
      <w:start w:val="1"/>
      <w:numFmt w:val="decimal"/>
      <w:lvlText w:val="%9."/>
      <w:lvlJc w:val="left"/>
      <w:pPr>
        <w:tabs>
          <w:tab w:val="num" w:pos="6480"/>
        </w:tabs>
        <w:ind w:left="6480" w:hanging="360"/>
      </w:pPr>
    </w:lvl>
  </w:abstractNum>
  <w:num w:numId="1" w16cid:durableId="615021998">
    <w:abstractNumId w:val="0"/>
  </w:num>
  <w:num w:numId="2" w16cid:durableId="1619411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5F6E"/>
    <w:rsid w:val="00385F6E"/>
    <w:rsid w:val="00921173"/>
    <w:rsid w:val="00CE4FE4"/>
    <w:rsid w:val="00E44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9F447"/>
  <w15:chartTrackingRefBased/>
  <w15:docId w15:val="{011FF445-FFC6-4422-AED2-1601D43A7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F6E"/>
    <w:rPr>
      <w:rFonts w:eastAsiaTheme="minorEastAsia"/>
      <w:kern w:val="0"/>
      <w:lang w:eastAsia="en-GB"/>
      <w14:ligatures w14:val="none"/>
    </w:rPr>
  </w:style>
  <w:style w:type="paragraph" w:styleId="Heading1">
    <w:name w:val="heading 1"/>
    <w:basedOn w:val="Normal"/>
    <w:link w:val="Heading1Char"/>
    <w:uiPriority w:val="9"/>
    <w:qFormat/>
    <w:rsid w:val="00385F6E"/>
    <w:pPr>
      <w:widowControl w:val="0"/>
      <w:autoSpaceDE w:val="0"/>
      <w:autoSpaceDN w:val="0"/>
      <w:spacing w:before="91" w:after="0" w:line="240" w:lineRule="auto"/>
      <w:ind w:left="140"/>
      <w:outlineLvl w:val="0"/>
    </w:pPr>
    <w:rPr>
      <w:rFonts w:ascii="Cambria" w:eastAsia="Cambria" w:hAnsi="Cambria" w:cs="Cambria"/>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F6E"/>
    <w:rPr>
      <w:rFonts w:ascii="Cambria" w:eastAsia="Cambria" w:hAnsi="Cambria" w:cs="Cambria"/>
      <w:b/>
      <w:bCs/>
      <w:kern w:val="0"/>
      <w:sz w:val="26"/>
      <w:szCs w:val="26"/>
      <w:lang w:val="en-US"/>
      <w14:ligatures w14:val="none"/>
    </w:rPr>
  </w:style>
  <w:style w:type="character" w:styleId="Hyperlink">
    <w:name w:val="Hyperlink"/>
    <w:basedOn w:val="DefaultParagraphFont"/>
    <w:uiPriority w:val="99"/>
    <w:unhideWhenUsed/>
    <w:rsid w:val="00385F6E"/>
    <w:rPr>
      <w:color w:val="0563C1" w:themeColor="hyperlink"/>
      <w:u w:val="single"/>
    </w:rPr>
  </w:style>
  <w:style w:type="paragraph" w:styleId="FootnoteText">
    <w:name w:val="footnote text"/>
    <w:basedOn w:val="Normal"/>
    <w:link w:val="FootnoteTextChar"/>
    <w:uiPriority w:val="99"/>
    <w:unhideWhenUsed/>
    <w:rsid w:val="00385F6E"/>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rsid w:val="00385F6E"/>
    <w:rPr>
      <w:kern w:val="0"/>
      <w:sz w:val="20"/>
      <w:szCs w:val="20"/>
      <w14:ligatures w14:val="none"/>
    </w:rPr>
  </w:style>
  <w:style w:type="character" w:styleId="FootnoteReference">
    <w:name w:val="footnote reference"/>
    <w:basedOn w:val="DefaultParagraphFont"/>
    <w:uiPriority w:val="99"/>
    <w:semiHidden/>
    <w:unhideWhenUsed/>
    <w:rsid w:val="00385F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week.com/feature/1020838/jk-rowlings-transphobia-controversy-a-complete-timeline" TargetMode="External"/><Relationship Id="rId13" Type="http://schemas.openxmlformats.org/officeDocument/2006/relationships/hyperlink" Target="https://www.cfr.org/backgrounder/hate-speech-social-media-global-comparisons" TargetMode="External"/><Relationship Id="rId3" Type="http://schemas.openxmlformats.org/officeDocument/2006/relationships/settings" Target="settings.xml"/><Relationship Id="rId7" Type="http://schemas.openxmlformats.org/officeDocument/2006/relationships/hyperlink" Target="https://www.amnesty.org.uk/online-abuse-women-widespread" TargetMode="External"/><Relationship Id="rId12" Type="http://schemas.openxmlformats.org/officeDocument/2006/relationships/hyperlink" Target="https://www.bbc.co.uk/news/uk-england-essex-571700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bc.co.uk/news/uk-5728144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heguardian.com/commentisfree/2021/jun/27/the-observer-view-on-the-right-to-free-expression" TargetMode="External"/><Relationship Id="rId4" Type="http://schemas.openxmlformats.org/officeDocument/2006/relationships/webSettings" Target="webSettings.xml"/><Relationship Id="rId9" Type="http://schemas.openxmlformats.org/officeDocument/2006/relationships/hyperlink" Target="https://eur-lex.europa.eu/EN/legal-content/summary/framework-decision-on-combating-certain-forms-and-expressions-of-racism-and-xenophobia-by-means-of-criminal-law.htm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theweek.com/feature/1020838/jk-rowlings-transphobia-controversy-a-complete-timeline" TargetMode="External"/><Relationship Id="rId7" Type="http://schemas.openxmlformats.org/officeDocument/2006/relationships/hyperlink" Target="https://eur-lex.europa.eu/EN/legal-content/summary/framework-decision-on-combating-certain-forms-and-expressions-of-racism-and-xenophobia-by-means-of-criminal-law.html" TargetMode="External"/><Relationship Id="rId2" Type="http://schemas.openxmlformats.org/officeDocument/2006/relationships/hyperlink" Target="https://www.bbc.co.uk/news/uk-england-essex-57170095" TargetMode="External"/><Relationship Id="rId1" Type="http://schemas.openxmlformats.org/officeDocument/2006/relationships/hyperlink" Target="https://www.theguardian.com/commentisfree/2021/jun/27/the-observer-view-on-the-right-to-free-expression" TargetMode="External"/><Relationship Id="rId6" Type="http://schemas.openxmlformats.org/officeDocument/2006/relationships/hyperlink" Target="https://www.amnesty.org.uk/online-abuse-women-widespread" TargetMode="External"/><Relationship Id="rId5" Type="http://schemas.openxmlformats.org/officeDocument/2006/relationships/hyperlink" Target="https://www.cfr.org/backgrounder/hate-speech-social-media-global-comparisons" TargetMode="External"/><Relationship Id="rId4" Type="http://schemas.openxmlformats.org/officeDocument/2006/relationships/hyperlink" Target="https://www.bbc.co.uk/news/uk-572814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1624</Words>
  <Characters>9000</Characters>
  <Application>Microsoft Office Word</Application>
  <DocSecurity>0</DocSecurity>
  <Lines>250</Lines>
  <Paragraphs>168</Paragraphs>
  <ScaleCrop>false</ScaleCrop>
  <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Hannah</dc:creator>
  <cp:keywords/>
  <dc:description/>
  <cp:lastModifiedBy>Wilson, Hannah</cp:lastModifiedBy>
  <cp:revision>1</cp:revision>
  <dcterms:created xsi:type="dcterms:W3CDTF">2024-03-01T09:42:00Z</dcterms:created>
  <dcterms:modified xsi:type="dcterms:W3CDTF">2024-03-01T09:42:00Z</dcterms:modified>
</cp:coreProperties>
</file>